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BE48E" w14:textId="649A814D" w:rsidR="00216D19" w:rsidRPr="00FE1F13" w:rsidRDefault="00216D19" w:rsidP="00216D19">
      <w:pPr>
        <w:pStyle w:val="Title"/>
        <w:tabs>
          <w:tab w:val="left" w:pos="709"/>
          <w:tab w:val="right" w:pos="9639"/>
        </w:tabs>
        <w:wordWrap w:val="0"/>
        <w:spacing w:before="0" w:after="0"/>
        <w:ind w:right="120"/>
        <w:jc w:val="right"/>
        <w:outlineLvl w:val="9"/>
        <w:rPr>
          <w:rFonts w:eastAsia="MS Mincho" w:cs="Arial"/>
          <w:kern w:val="0"/>
          <w:sz w:val="24"/>
          <w:lang w:val="en-US" w:eastAsia="en-US"/>
        </w:rPr>
      </w:pPr>
      <w:bookmarkStart w:id="0" w:name="_Ref409106980"/>
      <w:r w:rsidRPr="00FE1F13">
        <w:rPr>
          <w:rFonts w:eastAsia="MS Mincho" w:cs="Arial"/>
          <w:kern w:val="0"/>
          <w:sz w:val="24"/>
          <w:lang w:val="en-US" w:eastAsia="en-US"/>
        </w:rPr>
        <w:t xml:space="preserve">3GPP TSG-RAN </w:t>
      </w:r>
      <w:r>
        <w:rPr>
          <w:rFonts w:eastAsia="MS Mincho" w:cs="Arial"/>
          <w:kern w:val="0"/>
          <w:sz w:val="24"/>
          <w:lang w:val="en-US" w:eastAsia="en-US"/>
        </w:rPr>
        <w:t xml:space="preserve">WG1 </w:t>
      </w:r>
      <w:r w:rsidR="004B5D8E" w:rsidRPr="00C540F5">
        <w:rPr>
          <w:rFonts w:eastAsia="MS Mincho" w:cs="Arial"/>
          <w:kern w:val="0"/>
          <w:sz w:val="24"/>
          <w:lang w:val="en-US" w:eastAsia="en-US"/>
        </w:rPr>
        <w:t>NB-</w:t>
      </w:r>
      <w:proofErr w:type="spellStart"/>
      <w:r w:rsidR="004B5D8E" w:rsidRPr="00C540F5">
        <w:rPr>
          <w:rFonts w:eastAsia="MS Mincho" w:cs="Arial"/>
          <w:kern w:val="0"/>
          <w:sz w:val="24"/>
          <w:lang w:val="en-US" w:eastAsia="en-US"/>
        </w:rPr>
        <w:t>I</w:t>
      </w:r>
      <w:r w:rsidR="004B5D8E">
        <w:rPr>
          <w:rFonts w:eastAsia="MS Mincho" w:cs="Arial"/>
          <w:kern w:val="0"/>
          <w:sz w:val="24"/>
          <w:lang w:val="en-US" w:eastAsia="en-US"/>
        </w:rPr>
        <w:t>o</w:t>
      </w:r>
      <w:r w:rsidR="004B5D8E" w:rsidRPr="00C540F5">
        <w:rPr>
          <w:rFonts w:eastAsia="MS Mincho" w:cs="Arial"/>
          <w:kern w:val="0"/>
          <w:sz w:val="24"/>
          <w:lang w:val="en-US" w:eastAsia="en-US"/>
        </w:rPr>
        <w:t>T</w:t>
      </w:r>
      <w:proofErr w:type="spellEnd"/>
      <w:r w:rsidR="004B5D8E">
        <w:rPr>
          <w:rFonts w:eastAsia="MS Mincho" w:cs="Arial"/>
          <w:kern w:val="0"/>
          <w:sz w:val="24"/>
          <w:lang w:val="en-US" w:eastAsia="en-US"/>
        </w:rPr>
        <w:t xml:space="preserve"> Ad Hoc</w:t>
      </w:r>
      <w:r>
        <w:rPr>
          <w:rFonts w:eastAsia="MS Mincho" w:cs="Arial"/>
          <w:kern w:val="0"/>
          <w:sz w:val="24"/>
          <w:lang w:val="en-US" w:eastAsia="en-US"/>
        </w:rPr>
        <w:tab/>
      </w:r>
      <w:r w:rsidR="00514DB0" w:rsidRPr="00514DB0">
        <w:rPr>
          <w:rFonts w:eastAsia="MS Mincho" w:cs="Arial"/>
          <w:kern w:val="0"/>
          <w:sz w:val="24"/>
          <w:lang w:val="en-US" w:eastAsia="en-US"/>
        </w:rPr>
        <w:t>R1-16</w:t>
      </w:r>
      <w:r w:rsidR="00514DB0">
        <w:rPr>
          <w:rFonts w:eastAsia="MS Mincho" w:cs="Arial"/>
          <w:kern w:val="0"/>
          <w:sz w:val="24"/>
          <w:lang w:val="en-US" w:eastAsia="en-US"/>
        </w:rPr>
        <w:t>0088</w:t>
      </w:r>
    </w:p>
    <w:p w14:paraId="724BFFC3" w14:textId="77777777" w:rsidR="00216D19" w:rsidRPr="00FE1F13" w:rsidRDefault="00216D19" w:rsidP="00216D19">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18th – 20</w:t>
      </w:r>
      <w:r w:rsidRPr="00FE1F13">
        <w:rPr>
          <w:rFonts w:eastAsia="MS Mincho" w:cs="Arial"/>
          <w:kern w:val="0"/>
          <w:sz w:val="24"/>
          <w:lang w:val="en-US" w:eastAsia="en-US"/>
        </w:rPr>
        <w:t xml:space="preserve">th </w:t>
      </w:r>
      <w:r>
        <w:rPr>
          <w:rFonts w:eastAsia="MS Mincho" w:cs="Arial"/>
          <w:kern w:val="0"/>
          <w:sz w:val="24"/>
          <w:lang w:val="en-US" w:eastAsia="en-US"/>
        </w:rPr>
        <w:t>January</w:t>
      </w:r>
      <w:r w:rsidRPr="00FE1F13">
        <w:rPr>
          <w:rFonts w:eastAsia="MS Mincho" w:cs="Arial"/>
          <w:kern w:val="0"/>
          <w:sz w:val="24"/>
          <w:lang w:val="en-US" w:eastAsia="en-US"/>
        </w:rPr>
        <w:t xml:space="preserve"> 201</w:t>
      </w:r>
      <w:r>
        <w:rPr>
          <w:rFonts w:eastAsia="MS Mincho" w:cs="Arial"/>
          <w:kern w:val="0"/>
          <w:sz w:val="24"/>
          <w:lang w:val="en-US" w:eastAsia="en-US"/>
        </w:rPr>
        <w:t>6</w:t>
      </w:r>
    </w:p>
    <w:p w14:paraId="689FD66C" w14:textId="77777777" w:rsidR="00216D19" w:rsidRPr="00FE1F13" w:rsidRDefault="00216D19" w:rsidP="00216D19">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Budapest, Hungary</w:t>
      </w:r>
    </w:p>
    <w:p w14:paraId="56F1CD5E" w14:textId="77777777" w:rsidR="00216D19" w:rsidRDefault="00216D19" w:rsidP="00216D19">
      <w:pPr>
        <w:keepNext/>
        <w:tabs>
          <w:tab w:val="left" w:pos="2552"/>
        </w:tabs>
        <w:rPr>
          <w:rFonts w:cs="Arial"/>
          <w:b/>
          <w:sz w:val="24"/>
          <w:lang w:val="en-US"/>
        </w:rPr>
      </w:pPr>
    </w:p>
    <w:p w14:paraId="15606AB7" w14:textId="77777777" w:rsidR="00216D19" w:rsidRPr="00E21B75" w:rsidRDefault="00216D19" w:rsidP="00216D19">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2EEAA09C" w14:textId="64C7225E" w:rsidR="00216D19" w:rsidRPr="00E21B75" w:rsidRDefault="00216D19" w:rsidP="00216D19">
      <w:pPr>
        <w:keepNext/>
        <w:tabs>
          <w:tab w:val="left" w:pos="2552"/>
        </w:tabs>
        <w:ind w:left="2550" w:hanging="2550"/>
        <w:jc w:val="left"/>
        <w:rPr>
          <w:rFonts w:cs="Arial"/>
          <w:b/>
          <w:sz w:val="24"/>
          <w:lang w:val="en-US"/>
        </w:rPr>
      </w:pPr>
      <w:r>
        <w:rPr>
          <w:rFonts w:cs="Arial"/>
          <w:b/>
          <w:sz w:val="24"/>
          <w:lang w:val="en-US"/>
        </w:rPr>
        <w:t xml:space="preserve">Title:  </w:t>
      </w:r>
      <w:r>
        <w:rPr>
          <w:rFonts w:cs="Arial"/>
          <w:b/>
          <w:sz w:val="24"/>
          <w:lang w:val="en-US"/>
        </w:rPr>
        <w:tab/>
        <w:t>NB-</w:t>
      </w:r>
      <w:proofErr w:type="spellStart"/>
      <w:r>
        <w:rPr>
          <w:rFonts w:cs="Arial"/>
          <w:b/>
          <w:sz w:val="24"/>
          <w:lang w:val="en-US"/>
        </w:rPr>
        <w:t>IoT</w:t>
      </w:r>
      <w:proofErr w:type="spellEnd"/>
      <w:r>
        <w:rPr>
          <w:rFonts w:cs="Arial"/>
          <w:b/>
          <w:sz w:val="24"/>
          <w:lang w:val="en-US"/>
        </w:rPr>
        <w:t xml:space="preserve"> – Uplink Link Level Coexistence</w:t>
      </w:r>
      <w:r w:rsidR="00363BD5">
        <w:rPr>
          <w:rFonts w:cs="Arial"/>
          <w:b/>
          <w:sz w:val="24"/>
          <w:lang w:val="en-US"/>
        </w:rPr>
        <w:t xml:space="preserve"> </w:t>
      </w:r>
      <w:r>
        <w:rPr>
          <w:rFonts w:cs="Arial"/>
          <w:b/>
          <w:sz w:val="24"/>
          <w:lang w:val="en-US"/>
        </w:rPr>
        <w:t xml:space="preserve">– Impact </w:t>
      </w:r>
      <w:r w:rsidR="00363BD5">
        <w:rPr>
          <w:rFonts w:cs="Arial"/>
          <w:b/>
          <w:sz w:val="24"/>
          <w:lang w:val="en-US"/>
        </w:rPr>
        <w:t>on</w:t>
      </w:r>
      <w:r>
        <w:rPr>
          <w:rFonts w:cs="Arial"/>
          <w:b/>
          <w:sz w:val="24"/>
          <w:lang w:val="en-US"/>
        </w:rPr>
        <w:t xml:space="preserve"> LTE</w:t>
      </w:r>
    </w:p>
    <w:p w14:paraId="7A204800" w14:textId="77777777" w:rsidR="00216D19" w:rsidRPr="00E21B75" w:rsidRDefault="00216D19" w:rsidP="00216D19">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43772535" w14:textId="24F19926" w:rsidR="00216D19" w:rsidRPr="00FE1F13" w:rsidRDefault="00216D19" w:rsidP="00216D19">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514DB0">
        <w:rPr>
          <w:rFonts w:cs="Arial"/>
          <w:b/>
          <w:sz w:val="24"/>
          <w:lang w:val="en-US"/>
        </w:rPr>
        <w:t>2.1.2.1</w:t>
      </w:r>
    </w:p>
    <w:p w14:paraId="577D267A" w14:textId="68B542CE" w:rsidR="00683F57" w:rsidRPr="00FE1F13" w:rsidRDefault="00683F57" w:rsidP="00683F57">
      <w:pPr>
        <w:pStyle w:val="Heading1"/>
        <w:rPr>
          <w:lang w:val="en-US"/>
        </w:rPr>
      </w:pPr>
      <w:r w:rsidRPr="00FE1F13">
        <w:rPr>
          <w:lang w:val="en-US"/>
        </w:rPr>
        <w:t>Introduction</w:t>
      </w:r>
      <w:bookmarkEnd w:id="0"/>
    </w:p>
    <w:p w14:paraId="50B377E4" w14:textId="77777777" w:rsidR="00216D19" w:rsidRPr="004B486D" w:rsidRDefault="00216D19" w:rsidP="00216D19">
      <w:pPr>
        <w:pStyle w:val="BodyText"/>
        <w:rPr>
          <w:lang w:val="en-US"/>
        </w:rPr>
      </w:pPr>
      <w:bookmarkStart w:id="1" w:name="_Ref426290311"/>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F76267">
        <w:rPr>
          <w:lang w:val="en-US"/>
        </w:rPr>
        <w:t>[1]</w:t>
      </w:r>
      <w:r w:rsidRPr="00FE1F13">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00B44FE" w14:textId="77777777" w:rsidR="00216D19" w:rsidRPr="004B486D" w:rsidRDefault="00216D19" w:rsidP="00216D19">
      <w:pPr>
        <w:pStyle w:val="BodyText"/>
        <w:rPr>
          <w:lang w:val="en-US"/>
        </w:rPr>
      </w:pPr>
      <w:r w:rsidRPr="004B486D">
        <w:rPr>
          <w:lang w:val="en-US"/>
        </w:rPr>
        <w:t xml:space="preserve">NB-IOT should support 3 different modes of operation: </w:t>
      </w:r>
    </w:p>
    <w:p w14:paraId="1B626B9D" w14:textId="6F4CB829" w:rsidR="00216D19" w:rsidRPr="004B486D" w:rsidRDefault="00216D19" w:rsidP="004B5D8E">
      <w:pPr>
        <w:pStyle w:val="BodyText"/>
        <w:numPr>
          <w:ilvl w:val="0"/>
          <w:numId w:val="49"/>
        </w:numPr>
        <w:rPr>
          <w:lang w:val="en-US"/>
        </w:rPr>
      </w:pPr>
      <w:r>
        <w:rPr>
          <w:lang w:val="en-US"/>
        </w:rPr>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29C72760" w14:textId="6192289D" w:rsidR="00216D19" w:rsidRPr="004B486D" w:rsidRDefault="00216D19" w:rsidP="004B5D8E">
      <w:pPr>
        <w:pStyle w:val="BodyText"/>
        <w:numPr>
          <w:ilvl w:val="0"/>
          <w:numId w:val="49"/>
        </w:numPr>
        <w:rPr>
          <w:lang w:val="en-US"/>
        </w:rPr>
      </w:pPr>
      <w:r>
        <w:rPr>
          <w:lang w:val="en-US"/>
        </w:rPr>
        <w:t>“Guard band operation”</w:t>
      </w:r>
      <w:r w:rsidRPr="004B486D">
        <w:rPr>
          <w:lang w:val="en-US"/>
        </w:rPr>
        <w:t xml:space="preserve"> utilizing the unused resource blocks within a LTE carrier’s guard-band </w:t>
      </w:r>
    </w:p>
    <w:p w14:paraId="583E5056" w14:textId="3F2CECFF" w:rsidR="00216D19" w:rsidRDefault="00216D19" w:rsidP="004B5D8E">
      <w:pPr>
        <w:pStyle w:val="BodyText"/>
        <w:numPr>
          <w:ilvl w:val="0"/>
          <w:numId w:val="49"/>
        </w:numPr>
        <w:rPr>
          <w:lang w:val="en-US"/>
        </w:rPr>
      </w:pPr>
      <w:r>
        <w:rPr>
          <w:lang w:val="en-US"/>
        </w:rPr>
        <w:t>“In-band operation”</w:t>
      </w:r>
      <w:r w:rsidRPr="004B486D">
        <w:rPr>
          <w:lang w:val="en-US"/>
        </w:rPr>
        <w:t xml:space="preserve"> utilizing resource blocks within a normal LTE carrier</w:t>
      </w:r>
    </w:p>
    <w:p w14:paraId="699CD180" w14:textId="77777777" w:rsidR="00216D19" w:rsidRDefault="00216D19" w:rsidP="00216D19">
      <w:pPr>
        <w:pStyle w:val="BodyText"/>
        <w:rPr>
          <w:lang w:val="en-US"/>
        </w:rPr>
      </w:pPr>
      <w:r>
        <w:rPr>
          <w:lang w:val="en-US"/>
        </w:rPr>
        <w:t xml:space="preserve">RAN1 #83 made the following agreement regarding the NB-IOT uplink </w:t>
      </w:r>
      <w:r>
        <w:rPr>
          <w:lang w:val="en-US"/>
        </w:rPr>
        <w:fldChar w:fldCharType="begin"/>
      </w:r>
      <w:r>
        <w:rPr>
          <w:lang w:val="en-US"/>
        </w:rPr>
        <w:instrText xml:space="preserve"> REF _Ref437609883 \r \h </w:instrText>
      </w:r>
      <w:r>
        <w:rPr>
          <w:lang w:val="en-US"/>
        </w:rPr>
      </w:r>
      <w:r>
        <w:rPr>
          <w:lang w:val="en-US"/>
        </w:rPr>
        <w:fldChar w:fldCharType="separate"/>
      </w:r>
      <w:r w:rsidR="00F76267">
        <w:rPr>
          <w:lang w:val="en-US"/>
        </w:rPr>
        <w:t>[2]</w:t>
      </w:r>
      <w:r>
        <w:rPr>
          <w:lang w:val="en-US"/>
        </w:rPr>
        <w:fldChar w:fldCharType="end"/>
      </w:r>
      <w:r>
        <w:rPr>
          <w:lang w:val="en-US"/>
        </w:rPr>
        <w:t>:</w:t>
      </w:r>
    </w:p>
    <w:p w14:paraId="401E08AC" w14:textId="77777777" w:rsidR="00216D19" w:rsidRDefault="00216D19" w:rsidP="00216D19">
      <w:pPr>
        <w:pStyle w:val="BodyText"/>
        <w:rPr>
          <w:lang w:val="en-US"/>
        </w:rPr>
      </w:pPr>
      <w:r w:rsidRPr="00582803">
        <w:rPr>
          <w:noProof/>
          <w:lang w:val="en-US" w:eastAsia="en-US"/>
        </w:rPr>
        <mc:AlternateContent>
          <mc:Choice Requires="wps">
            <w:drawing>
              <wp:inline distT="0" distB="0" distL="0" distR="0" wp14:anchorId="2D5B20FA" wp14:editId="1C0CD29E">
                <wp:extent cx="6119446" cy="1482969"/>
                <wp:effectExtent l="0" t="0" r="15240" b="222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46" cy="1482969"/>
                        </a:xfrm>
                        <a:prstGeom prst="rect">
                          <a:avLst/>
                        </a:prstGeom>
                        <a:solidFill>
                          <a:srgbClr val="FFFFFF"/>
                        </a:solidFill>
                        <a:ln w="9525">
                          <a:solidFill>
                            <a:srgbClr val="000000"/>
                          </a:solidFill>
                          <a:miter lim="800000"/>
                          <a:headEnd/>
                          <a:tailEnd/>
                        </a:ln>
                      </wps:spPr>
                      <wps:txbx>
                        <w:txbxContent>
                          <w:p w14:paraId="7851DA09" w14:textId="77777777" w:rsidR="00216D19" w:rsidRDefault="00216D19" w:rsidP="00216D19">
                            <w:pPr>
                              <w:numPr>
                                <w:ilvl w:val="0"/>
                                <w:numId w:val="45"/>
                              </w:numPr>
                              <w:overflowPunct/>
                              <w:autoSpaceDE/>
                              <w:autoSpaceDN/>
                              <w:adjustRightInd/>
                              <w:spacing w:after="0"/>
                              <w:jc w:val="left"/>
                              <w:textAlignment w:val="auto"/>
                              <w:rPr>
                                <w:iCs/>
                                <w:lang w:val="en-US"/>
                              </w:rPr>
                            </w:pPr>
                            <w:r>
                              <w:rPr>
                                <w:iCs/>
                                <w:lang w:val="en-US"/>
                              </w:rPr>
                              <w:t>Proposal for NB-</w:t>
                            </w:r>
                            <w:proofErr w:type="spellStart"/>
                            <w:r>
                              <w:rPr>
                                <w:iCs/>
                                <w:lang w:val="en-US"/>
                              </w:rPr>
                              <w:t>IoT</w:t>
                            </w:r>
                            <w:proofErr w:type="spellEnd"/>
                            <w:r>
                              <w:rPr>
                                <w:iCs/>
                                <w:lang w:val="en-US"/>
                              </w:rPr>
                              <w:t xml:space="preserve"> UL</w:t>
                            </w:r>
                          </w:p>
                          <w:p w14:paraId="7726961C" w14:textId="77777777" w:rsidR="00216D19" w:rsidRPr="000B1DAB" w:rsidRDefault="00216D19" w:rsidP="00216D19">
                            <w:pPr>
                              <w:numPr>
                                <w:ilvl w:val="1"/>
                                <w:numId w:val="45"/>
                              </w:numPr>
                              <w:overflowPunct/>
                              <w:autoSpaceDE/>
                              <w:autoSpaceDN/>
                              <w:adjustRightInd/>
                              <w:spacing w:after="0"/>
                              <w:jc w:val="left"/>
                              <w:textAlignment w:val="auto"/>
                              <w:rPr>
                                <w:iCs/>
                                <w:lang w:val="en-US"/>
                              </w:rPr>
                            </w:pPr>
                            <w:r w:rsidRPr="000B1DAB">
                              <w:rPr>
                                <w:iCs/>
                                <w:lang w:val="en-US"/>
                              </w:rPr>
                              <w:t>Single-tone transmissions are supported</w:t>
                            </w:r>
                          </w:p>
                          <w:p w14:paraId="1E59A058"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2 numerologies should be configurable for Single-tone transmission: [3.75]kHz and 15kHz</w:t>
                            </w:r>
                          </w:p>
                          <w:p w14:paraId="6F69004C"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A cyclic prefix is inserted</w:t>
                            </w:r>
                          </w:p>
                          <w:p w14:paraId="2A3D4385"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 xml:space="preserve">Frequency domain </w:t>
                            </w:r>
                            <w:proofErr w:type="spellStart"/>
                            <w:r w:rsidRPr="000B1DAB">
                              <w:rPr>
                                <w:iCs/>
                                <w:lang w:val="en-US"/>
                              </w:rPr>
                              <w:t>Sinc</w:t>
                            </w:r>
                            <w:proofErr w:type="spellEnd"/>
                            <w:r w:rsidRPr="000B1DAB">
                              <w:rPr>
                                <w:iCs/>
                                <w:lang w:val="en-US"/>
                              </w:rPr>
                              <w:t xml:space="preserve"> pulse shaping in the physical layer description</w:t>
                            </w:r>
                          </w:p>
                          <w:p w14:paraId="0B540BFA" w14:textId="77777777" w:rsidR="00216D19" w:rsidRPr="000B1DAB" w:rsidRDefault="00216D19" w:rsidP="00216D19">
                            <w:pPr>
                              <w:numPr>
                                <w:ilvl w:val="1"/>
                                <w:numId w:val="45"/>
                              </w:numPr>
                              <w:overflowPunct/>
                              <w:autoSpaceDE/>
                              <w:autoSpaceDN/>
                              <w:adjustRightInd/>
                              <w:spacing w:after="0"/>
                              <w:jc w:val="left"/>
                              <w:textAlignment w:val="auto"/>
                              <w:rPr>
                                <w:iCs/>
                                <w:lang w:val="en-US"/>
                              </w:rPr>
                            </w:pPr>
                            <w:r w:rsidRPr="000B1DAB">
                              <w:rPr>
                                <w:iCs/>
                                <w:lang w:val="en-US"/>
                              </w:rPr>
                              <w:t>Multi-tone transmissions are supported</w:t>
                            </w:r>
                          </w:p>
                          <w:p w14:paraId="325C3450"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Multi-tone transmissions are based on SC-FDMA</w:t>
                            </w:r>
                          </w:p>
                          <w:p w14:paraId="164FA746" w14:textId="77777777" w:rsidR="00216D19" w:rsidRPr="005C3911"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15 kHz UL subcarrier spacing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85pt;height:1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">
                <v:textbox>
                  <w:txbxContent>
                    <w:p w14:paraId="7851DA09" w14:textId="77777777" w:rsidR="00216D19" w:rsidRDefault="00216D19" w:rsidP="00216D19">
                      <w:pPr>
                        <w:numPr>
                          <w:ilvl w:val="0"/>
                          <w:numId w:val="45"/>
                        </w:numPr>
                        <w:overflowPunct/>
                        <w:autoSpaceDE/>
                        <w:autoSpaceDN/>
                        <w:adjustRightInd/>
                        <w:spacing w:after="0"/>
                        <w:jc w:val="left"/>
                        <w:textAlignment w:val="auto"/>
                        <w:rPr>
                          <w:iCs/>
                          <w:lang w:val="en-US"/>
                        </w:rPr>
                      </w:pPr>
                      <w:r>
                        <w:rPr>
                          <w:iCs/>
                          <w:lang w:val="en-US"/>
                        </w:rPr>
                        <w:t>Proposal for NB-</w:t>
                      </w:r>
                      <w:proofErr w:type="spellStart"/>
                      <w:r>
                        <w:rPr>
                          <w:iCs/>
                          <w:lang w:val="en-US"/>
                        </w:rPr>
                        <w:t>IoT</w:t>
                      </w:r>
                      <w:proofErr w:type="spellEnd"/>
                      <w:r>
                        <w:rPr>
                          <w:iCs/>
                          <w:lang w:val="en-US"/>
                        </w:rPr>
                        <w:t xml:space="preserve"> UL</w:t>
                      </w:r>
                    </w:p>
                    <w:p w14:paraId="7726961C" w14:textId="77777777" w:rsidR="00216D19" w:rsidRPr="000B1DAB" w:rsidRDefault="00216D19" w:rsidP="00216D19">
                      <w:pPr>
                        <w:numPr>
                          <w:ilvl w:val="1"/>
                          <w:numId w:val="45"/>
                        </w:numPr>
                        <w:overflowPunct/>
                        <w:autoSpaceDE/>
                        <w:autoSpaceDN/>
                        <w:adjustRightInd/>
                        <w:spacing w:after="0"/>
                        <w:jc w:val="left"/>
                        <w:textAlignment w:val="auto"/>
                        <w:rPr>
                          <w:iCs/>
                          <w:lang w:val="en-US"/>
                        </w:rPr>
                      </w:pPr>
                      <w:r w:rsidRPr="000B1DAB">
                        <w:rPr>
                          <w:iCs/>
                          <w:lang w:val="en-US"/>
                        </w:rPr>
                        <w:t>Single-tone transmissions are supported</w:t>
                      </w:r>
                    </w:p>
                    <w:p w14:paraId="1E59A058"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2 numerologies should be configurable for Single-tone transmission: [3.75]kHz and 15kHz</w:t>
                      </w:r>
                    </w:p>
                    <w:p w14:paraId="6F69004C"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A cyclic prefix is inserted</w:t>
                      </w:r>
                    </w:p>
                    <w:p w14:paraId="2A3D4385"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 xml:space="preserve">Frequency domain </w:t>
                      </w:r>
                      <w:proofErr w:type="spellStart"/>
                      <w:r w:rsidRPr="000B1DAB">
                        <w:rPr>
                          <w:iCs/>
                          <w:lang w:val="en-US"/>
                        </w:rPr>
                        <w:t>Sinc</w:t>
                      </w:r>
                      <w:proofErr w:type="spellEnd"/>
                      <w:r w:rsidRPr="000B1DAB">
                        <w:rPr>
                          <w:iCs/>
                          <w:lang w:val="en-US"/>
                        </w:rPr>
                        <w:t xml:space="preserve"> pulse shaping in the physical layer description</w:t>
                      </w:r>
                    </w:p>
                    <w:p w14:paraId="0B540BFA" w14:textId="77777777" w:rsidR="00216D19" w:rsidRPr="000B1DAB" w:rsidRDefault="00216D19" w:rsidP="00216D19">
                      <w:pPr>
                        <w:numPr>
                          <w:ilvl w:val="1"/>
                          <w:numId w:val="45"/>
                        </w:numPr>
                        <w:overflowPunct/>
                        <w:autoSpaceDE/>
                        <w:autoSpaceDN/>
                        <w:adjustRightInd/>
                        <w:spacing w:after="0"/>
                        <w:jc w:val="left"/>
                        <w:textAlignment w:val="auto"/>
                        <w:rPr>
                          <w:iCs/>
                          <w:lang w:val="en-US"/>
                        </w:rPr>
                      </w:pPr>
                      <w:r w:rsidRPr="000B1DAB">
                        <w:rPr>
                          <w:iCs/>
                          <w:lang w:val="en-US"/>
                        </w:rPr>
                        <w:t>Multi-tone transmissions are supported</w:t>
                      </w:r>
                    </w:p>
                    <w:p w14:paraId="325C3450" w14:textId="77777777" w:rsidR="00216D19" w:rsidRPr="000B1DAB"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Multi-tone transmissions are based on SC-FDMA</w:t>
                      </w:r>
                    </w:p>
                    <w:p w14:paraId="164FA746" w14:textId="77777777" w:rsidR="00216D19" w:rsidRPr="005C3911" w:rsidRDefault="00216D19" w:rsidP="00216D19">
                      <w:pPr>
                        <w:numPr>
                          <w:ilvl w:val="2"/>
                          <w:numId w:val="45"/>
                        </w:numPr>
                        <w:overflowPunct/>
                        <w:autoSpaceDE/>
                        <w:autoSpaceDN/>
                        <w:adjustRightInd/>
                        <w:spacing w:after="0"/>
                        <w:jc w:val="left"/>
                        <w:textAlignment w:val="auto"/>
                        <w:rPr>
                          <w:iCs/>
                          <w:lang w:val="en-US"/>
                        </w:rPr>
                      </w:pPr>
                      <w:r w:rsidRPr="000B1DAB">
                        <w:rPr>
                          <w:iCs/>
                          <w:lang w:val="en-US"/>
                        </w:rPr>
                        <w:t>15 kHz UL subcarrier spacing</w:t>
                      </w:r>
                    </w:p>
                  </w:txbxContent>
                </v:textbox>
                <w10:anchorlock/>
              </v:shape>
            </w:pict>
          </mc:Fallback>
        </mc:AlternateContent>
      </w:r>
    </w:p>
    <w:p w14:paraId="5B3F7AE9" w14:textId="44818B17" w:rsidR="00216D19" w:rsidRPr="00D92256" w:rsidRDefault="00216D19" w:rsidP="00216D19">
      <w:pPr>
        <w:pStyle w:val="BodyText"/>
        <w:rPr>
          <w:lang w:val="en-US"/>
        </w:rPr>
      </w:pPr>
      <w:r>
        <w:rPr>
          <w:lang w:val="en-US"/>
        </w:rPr>
        <w:t xml:space="preserve">In this contribution, we evaluate the impact of NB-IOT transmission on the LTE uplink, when the NB-IOT carrier is deployed in the </w:t>
      </w:r>
      <w:proofErr w:type="spellStart"/>
      <w:r w:rsidR="007152F1">
        <w:rPr>
          <w:lang w:val="en-US"/>
        </w:rPr>
        <w:t>inband</w:t>
      </w:r>
      <w:proofErr w:type="spellEnd"/>
      <w:r w:rsidR="0002675F">
        <w:rPr>
          <w:lang w:val="en-US"/>
        </w:rPr>
        <w:t xml:space="preserve"> or in the </w:t>
      </w:r>
      <w:proofErr w:type="spellStart"/>
      <w:r w:rsidR="0002675F">
        <w:rPr>
          <w:lang w:val="en-US"/>
        </w:rPr>
        <w:t>guardband</w:t>
      </w:r>
      <w:proofErr w:type="spellEnd"/>
      <w:r w:rsidR="0002675F">
        <w:rPr>
          <w:lang w:val="en-US"/>
        </w:rPr>
        <w:t xml:space="preserve"> </w:t>
      </w:r>
      <w:r>
        <w:rPr>
          <w:lang w:val="en-US"/>
        </w:rPr>
        <w:t xml:space="preserve">of </w:t>
      </w:r>
      <w:r w:rsidR="0002675F">
        <w:rPr>
          <w:lang w:val="en-US"/>
        </w:rPr>
        <w:t>the</w:t>
      </w:r>
      <w:r>
        <w:rPr>
          <w:lang w:val="en-US"/>
        </w:rPr>
        <w:t xml:space="preserve"> LTE </w:t>
      </w:r>
      <w:r w:rsidR="005F3238">
        <w:rPr>
          <w:lang w:val="en-US"/>
        </w:rPr>
        <w:t xml:space="preserve">UL </w:t>
      </w:r>
      <w:r>
        <w:rPr>
          <w:lang w:val="en-US"/>
        </w:rPr>
        <w:t>system</w:t>
      </w:r>
      <w:r w:rsidR="0002675F">
        <w:rPr>
          <w:lang w:val="en-US"/>
        </w:rPr>
        <w:t xml:space="preserve"> bandwidth</w:t>
      </w:r>
      <w:r>
        <w:rPr>
          <w:lang w:val="en-US"/>
        </w:rPr>
        <w:t>.</w:t>
      </w:r>
    </w:p>
    <w:p w14:paraId="219286F4" w14:textId="33CAE1FD" w:rsidR="00120E41" w:rsidRPr="00FE1F13" w:rsidRDefault="0072649E" w:rsidP="00837207">
      <w:pPr>
        <w:pStyle w:val="Heading1"/>
        <w:rPr>
          <w:lang w:val="en-US"/>
        </w:rPr>
      </w:pPr>
      <w:r>
        <w:rPr>
          <w:lang w:val="en-US"/>
        </w:rPr>
        <w:t>Discussion</w:t>
      </w:r>
    </w:p>
    <w:p w14:paraId="762364D2" w14:textId="77777777" w:rsidR="00E178D9" w:rsidRDefault="00DE264A" w:rsidP="00120E41">
      <w:pPr>
        <w:pStyle w:val="BodyText"/>
        <w:rPr>
          <w:lang w:val="en-US"/>
        </w:rPr>
      </w:pPr>
      <w:r>
        <w:rPr>
          <w:lang w:val="en-US"/>
        </w:rPr>
        <w:t xml:space="preserve">In this </w:t>
      </w:r>
      <w:r w:rsidR="00E178D9">
        <w:rPr>
          <w:lang w:val="en-US"/>
        </w:rPr>
        <w:t>contribution</w:t>
      </w:r>
      <w:r>
        <w:rPr>
          <w:lang w:val="en-US"/>
        </w:rPr>
        <w:t xml:space="preserve"> we provide link-level simulation results </w:t>
      </w:r>
      <w:r w:rsidR="00F711F3">
        <w:rPr>
          <w:lang w:val="en-US"/>
        </w:rPr>
        <w:t xml:space="preserve">that measure </w:t>
      </w:r>
      <w:r>
        <w:rPr>
          <w:lang w:val="en-US"/>
        </w:rPr>
        <w:t xml:space="preserve">the impact </w:t>
      </w:r>
      <w:r w:rsidR="00F711F3">
        <w:rPr>
          <w:lang w:val="en-US"/>
        </w:rPr>
        <w:t>o</w:t>
      </w:r>
      <w:r>
        <w:rPr>
          <w:lang w:val="en-US"/>
        </w:rPr>
        <w:t xml:space="preserve">f NB-IOT uplink transmission on the uplink transmission from a LTE UE. </w:t>
      </w:r>
      <w:r w:rsidR="00E178D9">
        <w:rPr>
          <w:lang w:val="en-US"/>
        </w:rPr>
        <w:t>We evaluate three proposed designs for the NB-IOT uplink transmission:</w:t>
      </w:r>
    </w:p>
    <w:p w14:paraId="55A1FF87" w14:textId="1F51DB34" w:rsidR="00E178D9" w:rsidRDefault="00E178D9" w:rsidP="00E178D9">
      <w:pPr>
        <w:pStyle w:val="BodyText"/>
        <w:numPr>
          <w:ilvl w:val="0"/>
          <w:numId w:val="46"/>
        </w:numPr>
        <w:rPr>
          <w:lang w:val="en-US"/>
        </w:rPr>
      </w:pPr>
      <w:r>
        <w:rPr>
          <w:lang w:val="en-US"/>
        </w:rPr>
        <w:t>15 kHz UL subcarrier spacing with normal cyclic prefix.</w:t>
      </w:r>
    </w:p>
    <w:p w14:paraId="65A2A729" w14:textId="1CCDD42F" w:rsidR="00E178D9" w:rsidRDefault="00E178D9" w:rsidP="00E178D9">
      <w:pPr>
        <w:pStyle w:val="BodyText"/>
        <w:numPr>
          <w:ilvl w:val="0"/>
          <w:numId w:val="46"/>
        </w:numPr>
        <w:rPr>
          <w:lang w:val="en-US"/>
        </w:rPr>
      </w:pPr>
      <w:r>
        <w:rPr>
          <w:lang w:val="en-US"/>
        </w:rPr>
        <w:t>15 kHz UL subcarrier spacing with extended cyclic prefix (ECP).</w:t>
      </w:r>
    </w:p>
    <w:p w14:paraId="42E7E7BD" w14:textId="2B05E924" w:rsidR="00E178D9" w:rsidRDefault="00E178D9" w:rsidP="00E178D9">
      <w:pPr>
        <w:pStyle w:val="BodyText"/>
        <w:numPr>
          <w:ilvl w:val="0"/>
          <w:numId w:val="46"/>
        </w:numPr>
        <w:rPr>
          <w:lang w:val="en-US"/>
        </w:rPr>
      </w:pPr>
      <w:r>
        <w:rPr>
          <w:lang w:val="en-US"/>
        </w:rPr>
        <w:t>3.75 kHz UL subcarrier spacing.</w:t>
      </w:r>
    </w:p>
    <w:p w14:paraId="24EBFE9F" w14:textId="12B9E544" w:rsidR="00837207" w:rsidRDefault="00B45EDB" w:rsidP="00120E41">
      <w:pPr>
        <w:pStyle w:val="BodyText"/>
        <w:rPr>
          <w:lang w:val="en-US"/>
        </w:rPr>
      </w:pPr>
      <w:r>
        <w:rPr>
          <w:lang w:val="en-US"/>
        </w:rPr>
        <w:t xml:space="preserve">In case of ECP, the cyclic prefix length is same as that used by legacy LTE extended CP, i.e. (OFDM symbol duration)/4. We assume that the entire NB-IOT bandwidth of 180 kHz is occupied by uplink transmissions. In case of 15 kHz UL subcarrier spacing this corresponds to 12 UL subcarriers and in case of 3.75 kHz subcarrier spacing this corresponds to 48 </w:t>
      </w:r>
      <w:r>
        <w:t xml:space="preserve">subcarriers. </w:t>
      </w:r>
      <w:r w:rsidR="005A7942">
        <w:rPr>
          <w:lang w:val="en-US"/>
        </w:rPr>
        <w:t xml:space="preserve">In </w:t>
      </w:r>
      <w:r>
        <w:rPr>
          <w:lang w:val="en-US"/>
        </w:rPr>
        <w:t>all</w:t>
      </w:r>
      <w:r w:rsidR="005A7942">
        <w:rPr>
          <w:lang w:val="en-US"/>
        </w:rPr>
        <w:t xml:space="preserve"> cases, the location of the NB-IOT transmission is adjacent to the LTE transmission in frequency (i.e., </w:t>
      </w:r>
      <w:r w:rsidR="005E493E">
        <w:rPr>
          <w:lang w:val="en-US"/>
        </w:rPr>
        <w:t xml:space="preserve">there is </w:t>
      </w:r>
      <w:r w:rsidR="005A7942">
        <w:rPr>
          <w:lang w:val="en-US"/>
        </w:rPr>
        <w:t xml:space="preserve">no guard interval </w:t>
      </w:r>
      <w:r w:rsidR="005E493E">
        <w:rPr>
          <w:lang w:val="en-US"/>
        </w:rPr>
        <w:t>between the LTE and NB-IOT uplink transmissions</w:t>
      </w:r>
      <w:r w:rsidR="005A7942">
        <w:rPr>
          <w:lang w:val="en-US"/>
        </w:rPr>
        <w:t>).</w:t>
      </w:r>
    </w:p>
    <w:p w14:paraId="229EF080" w14:textId="40C412A8" w:rsidR="00837207" w:rsidRDefault="0072649E" w:rsidP="00837207">
      <w:pPr>
        <w:pStyle w:val="Heading2"/>
        <w:rPr>
          <w:lang w:val="en-US"/>
        </w:rPr>
      </w:pPr>
      <w:bookmarkStart w:id="2" w:name="_Ref434588368"/>
      <w:r>
        <w:rPr>
          <w:lang w:val="en-US"/>
        </w:rPr>
        <w:lastRenderedPageBreak/>
        <w:t>In-band operation</w:t>
      </w:r>
      <w:bookmarkEnd w:id="2"/>
    </w:p>
    <w:p w14:paraId="6B8936C5" w14:textId="15402DE4" w:rsidR="007743BA" w:rsidRPr="007743BA" w:rsidRDefault="007743BA" w:rsidP="007743BA">
      <w:pPr>
        <w:rPr>
          <w:lang w:val="en-US"/>
        </w:rPr>
      </w:pPr>
      <w:r>
        <w:rPr>
          <w:lang w:val="en-US"/>
        </w:rPr>
        <w:t xml:space="preserve">In this section we present link-level evaluation results for the case when the NB-IOT carrier is located </w:t>
      </w:r>
      <w:proofErr w:type="spellStart"/>
      <w:r w:rsidR="00C316FA">
        <w:rPr>
          <w:lang w:val="en-US"/>
        </w:rPr>
        <w:t>inband</w:t>
      </w:r>
      <w:proofErr w:type="spellEnd"/>
      <w:r w:rsidR="00C316FA">
        <w:rPr>
          <w:lang w:val="en-US"/>
        </w:rPr>
        <w:t xml:space="preserve"> </w:t>
      </w:r>
      <w:r w:rsidR="008C26A7">
        <w:rPr>
          <w:lang w:val="en-US"/>
        </w:rPr>
        <w:t>within</w:t>
      </w:r>
      <w:r w:rsidR="00C316FA">
        <w:rPr>
          <w:lang w:val="en-US"/>
        </w:rPr>
        <w:t xml:space="preserve"> the </w:t>
      </w:r>
      <w:r>
        <w:rPr>
          <w:lang w:val="en-US"/>
        </w:rPr>
        <w:t xml:space="preserve">LTE UL </w:t>
      </w:r>
      <w:r w:rsidR="00B6546F">
        <w:rPr>
          <w:lang w:val="en-US"/>
        </w:rPr>
        <w:t>system bandwidth.</w:t>
      </w:r>
    </w:p>
    <w:p w14:paraId="439FAF73" w14:textId="37FBF7F2" w:rsidR="002150C4" w:rsidRDefault="0072649E" w:rsidP="00E40203">
      <w:pPr>
        <w:rPr>
          <w:b/>
          <w:lang w:val="en-US"/>
        </w:rPr>
      </w:pPr>
      <w:r w:rsidRPr="00914EAC">
        <w:rPr>
          <w:b/>
          <w:lang w:val="en-US"/>
        </w:rPr>
        <w:t xml:space="preserve">Case 1: </w:t>
      </w:r>
      <w:r w:rsidR="00315F3D">
        <w:rPr>
          <w:b/>
          <w:lang w:val="en-US"/>
        </w:rPr>
        <w:t>NB-IOT impact</w:t>
      </w:r>
      <w:r w:rsidR="00914EAC">
        <w:rPr>
          <w:b/>
          <w:lang w:val="en-US"/>
        </w:rPr>
        <w:t xml:space="preserve"> on LTE PUSCH</w:t>
      </w:r>
    </w:p>
    <w:p w14:paraId="3C89467F" w14:textId="6C5FDB05" w:rsidR="00914EAC" w:rsidRPr="00914EAC" w:rsidRDefault="00914EAC" w:rsidP="00E40203">
      <w:pPr>
        <w:rPr>
          <w:lang w:val="en-US"/>
        </w:rPr>
      </w:pPr>
      <w:r w:rsidRPr="00914EAC">
        <w:rPr>
          <w:lang w:val="en-US"/>
        </w:rPr>
        <w:t xml:space="preserve">The </w:t>
      </w:r>
      <w:r>
        <w:rPr>
          <w:lang w:val="en-US"/>
        </w:rPr>
        <w:t>sim</w:t>
      </w:r>
      <w:r w:rsidR="003B236E">
        <w:rPr>
          <w:lang w:val="en-US"/>
        </w:rPr>
        <w:t>ulation results are provided in</w:t>
      </w:r>
      <w:r>
        <w:rPr>
          <w:lang w:val="en-US"/>
        </w:rPr>
        <w:t xml:space="preserve"> </w:t>
      </w:r>
      <w:r w:rsidR="00D65884">
        <w:rPr>
          <w:lang w:val="en-US"/>
        </w:rPr>
        <w:fldChar w:fldCharType="begin"/>
      </w:r>
      <w:r w:rsidR="00D65884">
        <w:rPr>
          <w:lang w:val="en-US"/>
        </w:rPr>
        <w:instrText xml:space="preserve"> REF _Ref438167026 \h </w:instrText>
      </w:r>
      <w:r w:rsidR="00D65884">
        <w:rPr>
          <w:lang w:val="en-US"/>
        </w:rPr>
      </w:r>
      <w:r w:rsidR="00D65884">
        <w:rPr>
          <w:lang w:val="en-US"/>
        </w:rPr>
        <w:fldChar w:fldCharType="separate"/>
      </w:r>
      <w:r w:rsidR="00F76267">
        <w:t xml:space="preserve">Figure </w:t>
      </w:r>
      <w:r w:rsidR="00F76267">
        <w:rPr>
          <w:noProof/>
        </w:rPr>
        <w:t>1</w:t>
      </w:r>
      <w:r w:rsidR="00D65884">
        <w:rPr>
          <w:lang w:val="en-US"/>
        </w:rPr>
        <w:fldChar w:fldCharType="end"/>
      </w:r>
      <w:r w:rsidR="00D65884">
        <w:rPr>
          <w:lang w:val="en-US"/>
        </w:rPr>
        <w:t xml:space="preserve"> </w:t>
      </w:r>
      <w:r w:rsidR="00C804B6">
        <w:rPr>
          <w:lang w:val="en-US"/>
        </w:rPr>
        <w:t xml:space="preserve">for </w:t>
      </w:r>
      <w:r w:rsidR="00AB68D9">
        <w:rPr>
          <w:lang w:val="en-US"/>
        </w:rPr>
        <w:t xml:space="preserve">NB-IOT impact on LTE </w:t>
      </w:r>
      <w:r w:rsidR="00C804B6">
        <w:rPr>
          <w:lang w:val="en-US"/>
        </w:rPr>
        <w:t xml:space="preserve">PUSCH transmission spanning </w:t>
      </w:r>
      <w:r w:rsidR="00AB68D9">
        <w:rPr>
          <w:lang w:val="en-US"/>
        </w:rPr>
        <w:t xml:space="preserve">(a) </w:t>
      </w:r>
      <w:r w:rsidR="00C804B6">
        <w:rPr>
          <w:lang w:val="en-US"/>
        </w:rPr>
        <w:t>1 PRB</w:t>
      </w:r>
      <w:r w:rsidR="00C90C2A">
        <w:rPr>
          <w:lang w:val="en-US"/>
        </w:rPr>
        <w:t xml:space="preserve"> with 16-QAM</w:t>
      </w:r>
      <w:r w:rsidR="00C804B6">
        <w:rPr>
          <w:lang w:val="en-US"/>
        </w:rPr>
        <w:t xml:space="preserve"> </w:t>
      </w:r>
      <w:r w:rsidR="00AB68D9">
        <w:rPr>
          <w:lang w:val="en-US"/>
        </w:rPr>
        <w:t>and (b)</w:t>
      </w:r>
      <w:r w:rsidR="00C804B6">
        <w:rPr>
          <w:lang w:val="en-US"/>
        </w:rPr>
        <w:t xml:space="preserve"> 10 PRBs</w:t>
      </w:r>
      <w:r w:rsidR="00C90C2A">
        <w:rPr>
          <w:lang w:val="en-US"/>
        </w:rPr>
        <w:t xml:space="preserve"> with QPSK</w:t>
      </w:r>
      <w:r w:rsidR="006E38F5">
        <w:rPr>
          <w:lang w:val="en-US"/>
        </w:rPr>
        <w:t xml:space="preserve">. </w:t>
      </w:r>
      <w:r w:rsidR="00AB68D9">
        <w:rPr>
          <w:lang w:val="en-US"/>
        </w:rPr>
        <w:t xml:space="preserve">The simulation parameters are obtained from </w:t>
      </w:r>
      <w:r w:rsidR="00AB68D9">
        <w:rPr>
          <w:lang w:val="en-US"/>
        </w:rPr>
        <w:fldChar w:fldCharType="begin"/>
      </w:r>
      <w:r w:rsidR="00AB68D9">
        <w:rPr>
          <w:lang w:val="en-US"/>
        </w:rPr>
        <w:instrText xml:space="preserve"> REF _Ref434576561 \w \h </w:instrText>
      </w:r>
      <w:r w:rsidR="00AB68D9">
        <w:rPr>
          <w:lang w:val="en-US"/>
        </w:rPr>
      </w:r>
      <w:r w:rsidR="00AB68D9">
        <w:rPr>
          <w:lang w:val="en-US"/>
        </w:rPr>
        <w:fldChar w:fldCharType="separate"/>
      </w:r>
      <w:r w:rsidR="00F76267">
        <w:rPr>
          <w:lang w:val="en-US"/>
        </w:rPr>
        <w:t>[3]</w:t>
      </w:r>
      <w:r w:rsidR="00AB68D9">
        <w:rPr>
          <w:lang w:val="en-US"/>
        </w:rPr>
        <w:fldChar w:fldCharType="end"/>
      </w:r>
      <w:r w:rsidR="00AB68D9">
        <w:rPr>
          <w:lang w:val="en-US"/>
        </w:rPr>
        <w:t xml:space="preserve">. It is observed that </w:t>
      </w:r>
      <w:r w:rsidR="00B85217">
        <w:rPr>
          <w:lang w:val="en-US"/>
        </w:rPr>
        <w:t xml:space="preserve">there is almost no impact of NB-IOT with 15 kHz UL subcarrier spacing on LTE PUSCH, with normal CP as well as ECP. </w:t>
      </w:r>
      <w:r w:rsidR="004A33C9">
        <w:rPr>
          <w:lang w:val="en-US"/>
        </w:rPr>
        <w:t xml:space="preserve">Also </w:t>
      </w:r>
      <w:r w:rsidR="00B85217">
        <w:rPr>
          <w:lang w:val="en-US"/>
        </w:rPr>
        <w:t>with 3.75 kHz UL subcarrier spacing</w:t>
      </w:r>
      <w:r w:rsidR="004A33C9">
        <w:rPr>
          <w:lang w:val="en-US"/>
        </w:rPr>
        <w:t>, there is negligible</w:t>
      </w:r>
      <w:r w:rsidR="00B85217">
        <w:rPr>
          <w:lang w:val="en-US"/>
        </w:rPr>
        <w:t xml:space="preserve"> impact on LTE PUSCH. For 1-PRB LTE PUSCH allocation, there is approximately </w:t>
      </w:r>
      <w:r w:rsidR="004A33C9">
        <w:rPr>
          <w:lang w:val="en-US"/>
        </w:rPr>
        <w:t>0.2</w:t>
      </w:r>
      <w:r w:rsidR="00B85217">
        <w:rPr>
          <w:lang w:val="en-US"/>
        </w:rPr>
        <w:t xml:space="preserve"> dB </w:t>
      </w:r>
      <w:r w:rsidR="004A33C9">
        <w:rPr>
          <w:lang w:val="en-US"/>
        </w:rPr>
        <w:t xml:space="preserve">worst-case </w:t>
      </w:r>
      <w:r w:rsidR="00B85217">
        <w:rPr>
          <w:lang w:val="en-US"/>
        </w:rPr>
        <w:t xml:space="preserve">degradation in performance, whereas for 10-PRB LTE PUSCH allocation, the degradation is </w:t>
      </w:r>
      <w:r w:rsidR="004A33C9">
        <w:rPr>
          <w:lang w:val="en-US"/>
        </w:rPr>
        <w:t>even smaller</w:t>
      </w:r>
      <w:r w:rsidR="00B85217">
        <w:rPr>
          <w:lang w:val="en-US"/>
        </w:rPr>
        <w:t>.</w:t>
      </w:r>
      <w:r w:rsidR="004A33C9">
        <w:rPr>
          <w:lang w:val="en-US"/>
        </w:rPr>
        <w:t xml:space="preserve"> </w:t>
      </w:r>
      <w:r w:rsidR="00F06FBF">
        <w:rPr>
          <w:lang w:val="en-US"/>
        </w:rPr>
        <w:t>This is because with a larger PUSCH allocation in frequency, the LTE sig</w:t>
      </w:r>
      <w:r w:rsidR="004A33C9">
        <w:rPr>
          <w:lang w:val="en-US"/>
        </w:rPr>
        <w:t>nal energy is spread</w:t>
      </w:r>
      <w:r w:rsidR="00F06FBF">
        <w:rPr>
          <w:lang w:val="en-US"/>
        </w:rPr>
        <w:t xml:space="preserve"> away from the NB-IOT transmission, reducing the average interference to noise ratio caused by NB-IOT transmission.</w:t>
      </w:r>
    </w:p>
    <w:p w14:paraId="7BD325FB" w14:textId="1B907C6B" w:rsidR="003149C4" w:rsidRDefault="00CA3770" w:rsidP="003149C4">
      <w:pPr>
        <w:keepNext/>
        <w:jc w:val="center"/>
        <w:rPr>
          <w:noProof/>
          <w:lang w:val="en-US" w:eastAsia="en-US"/>
        </w:rPr>
      </w:pPr>
      <w:r w:rsidRPr="00CA3770">
        <w:rPr>
          <w:noProof/>
          <w:lang w:val="en-US" w:eastAsia="en-US"/>
        </w:rPr>
        <w:t xml:space="preserve"> </w:t>
      </w:r>
      <w:r w:rsidR="00C61384" w:rsidRPr="00C61384">
        <w:rPr>
          <w:noProof/>
          <w:lang w:val="en-US" w:eastAsia="en-US"/>
        </w:rPr>
        <w:t xml:space="preserve"> </w:t>
      </w:r>
    </w:p>
    <w:p w14:paraId="5E22704A" w14:textId="1101C607" w:rsidR="007C2D38" w:rsidRDefault="00947B42" w:rsidP="003149C4">
      <w:pPr>
        <w:keepNext/>
        <w:jc w:val="center"/>
      </w:pPr>
      <w:r>
        <w:rPr>
          <w:noProof/>
          <w:lang w:val="en-US" w:eastAsia="en-US"/>
        </w:rPr>
        <mc:AlternateContent>
          <mc:Choice Requires="wps">
            <w:drawing>
              <wp:anchor distT="0" distB="0" distL="114300" distR="114300" simplePos="0" relativeHeight="251668480" behindDoc="0" locked="0" layoutInCell="1" allowOverlap="1" wp14:anchorId="2293F903" wp14:editId="6DEC9A57">
                <wp:simplePos x="0" y="0"/>
                <wp:positionH relativeFrom="column">
                  <wp:posOffset>2020570</wp:posOffset>
                </wp:positionH>
                <wp:positionV relativeFrom="paragraph">
                  <wp:posOffset>3061335</wp:posOffset>
                </wp:positionV>
                <wp:extent cx="213360" cy="90805"/>
                <wp:effectExtent l="0" t="0" r="15240" b="23495"/>
                <wp:wrapNone/>
                <wp:docPr id="12" name="Oval 12"/>
                <wp:cNvGraphicFramePr/>
                <a:graphic xmlns:a="http://schemas.openxmlformats.org/drawingml/2006/main">
                  <a:graphicData uri="http://schemas.microsoft.com/office/word/2010/wordprocessingShape">
                    <wps:wsp>
                      <wps:cNvSpPr/>
                      <wps:spPr>
                        <a:xfrm>
                          <a:off x="0" y="0"/>
                          <a:ext cx="213360" cy="90805"/>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2" o:spid="_x0000_s1026" style="position:absolute;margin-left:159.1pt;margin-top:241.05pt;width:16.8pt;height:7.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" filled="f" strokecolor="#243f60 [1604]" strokeweight="1.5pt"/>
            </w:pict>
          </mc:Fallback>
        </mc:AlternateContent>
      </w:r>
      <w:r w:rsidR="005A411E">
        <w:rPr>
          <w:noProof/>
          <w:lang w:val="en-US" w:eastAsia="en-US"/>
        </w:rPr>
        <mc:AlternateContent>
          <mc:Choice Requires="wpg">
            <w:drawing>
              <wp:anchor distT="0" distB="0" distL="114300" distR="114300" simplePos="0" relativeHeight="251661312" behindDoc="0" locked="0" layoutInCell="1" allowOverlap="1" wp14:anchorId="65F13E23" wp14:editId="33DA5928">
                <wp:simplePos x="0" y="0"/>
                <wp:positionH relativeFrom="column">
                  <wp:posOffset>801370</wp:posOffset>
                </wp:positionH>
                <wp:positionV relativeFrom="paragraph">
                  <wp:posOffset>1590675</wp:posOffset>
                </wp:positionV>
                <wp:extent cx="4303395" cy="1924685"/>
                <wp:effectExtent l="0" t="0" r="0" b="0"/>
                <wp:wrapNone/>
                <wp:docPr id="11" name="Group 11"/>
                <wp:cNvGraphicFramePr/>
                <a:graphic xmlns:a="http://schemas.openxmlformats.org/drawingml/2006/main">
                  <a:graphicData uri="http://schemas.microsoft.com/office/word/2010/wordprocessingGroup">
                    <wpg:wgp>
                      <wpg:cNvGrpSpPr/>
                      <wpg:grpSpPr>
                        <a:xfrm>
                          <a:off x="0" y="0"/>
                          <a:ext cx="4303395" cy="1924685"/>
                          <a:chOff x="0" y="0"/>
                          <a:chExt cx="2218355" cy="896815"/>
                        </a:xfrm>
                      </wpg:grpSpPr>
                      <wps:wsp>
                        <wps:cNvPr id="307" name="Text Box 2"/>
                        <wps:cNvSpPr txBox="1">
                          <a:spLocks noChangeArrowheads="1"/>
                        </wps:cNvSpPr>
                        <wps:spPr bwMode="auto">
                          <a:xfrm>
                            <a:off x="0" y="674077"/>
                            <a:ext cx="885092" cy="222738"/>
                          </a:xfrm>
                          <a:prstGeom prst="rect">
                            <a:avLst/>
                          </a:prstGeom>
                          <a:noFill/>
                          <a:ln w="9525">
                            <a:noFill/>
                            <a:miter lim="800000"/>
                            <a:headEnd/>
                            <a:tailEnd/>
                          </a:ln>
                        </wps:spPr>
                        <wps:txbx>
                          <w:txbxContent>
                            <w:p w14:paraId="3875431B" w14:textId="7FA515DF" w:rsidR="00161763" w:rsidRPr="008451E1" w:rsidRDefault="00161763">
                              <w:pPr>
                                <w:rPr>
                                  <w:sz w:val="24"/>
                                </w:rPr>
                              </w:pPr>
                              <w:r w:rsidRPr="008451E1">
                                <w:rPr>
                                  <w:sz w:val="24"/>
                                </w:rPr>
                                <w:t>10 PRB, QPSK</w:t>
                              </w:r>
                            </w:p>
                          </w:txbxContent>
                        </wps:txbx>
                        <wps:bodyPr rot="0" vert="horz" wrap="square" lIns="91440" tIns="45720" rIns="91440" bIns="45720" anchor="t" anchorCtr="0">
                          <a:noAutofit/>
                        </wps:bodyPr>
                      </wps:wsp>
                      <wps:wsp>
                        <wps:cNvPr id="9" name="Text Box 2"/>
                        <wps:cNvSpPr txBox="1">
                          <a:spLocks noChangeArrowheads="1"/>
                        </wps:cNvSpPr>
                        <wps:spPr bwMode="auto">
                          <a:xfrm>
                            <a:off x="1280509" y="0"/>
                            <a:ext cx="937846" cy="257908"/>
                          </a:xfrm>
                          <a:prstGeom prst="rect">
                            <a:avLst/>
                          </a:prstGeom>
                          <a:noFill/>
                          <a:ln w="9525">
                            <a:noFill/>
                            <a:miter lim="800000"/>
                            <a:headEnd/>
                            <a:tailEnd/>
                          </a:ln>
                        </wps:spPr>
                        <wps:txbx>
                          <w:txbxContent>
                            <w:p w14:paraId="50EF7F48" w14:textId="1B06CF3A" w:rsidR="00161763" w:rsidRPr="008451E1" w:rsidRDefault="00161763" w:rsidP="00161763">
                              <w:pPr>
                                <w:rPr>
                                  <w:sz w:val="24"/>
                                </w:rPr>
                              </w:pPr>
                              <w:r w:rsidRPr="008451E1">
                                <w:rPr>
                                  <w:sz w:val="24"/>
                                </w:rPr>
                                <w:t>1 PRB, 16-QAM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7" style="position:absolute;left:0;text-align:left;margin-left:63.1pt;margin-top:125.25pt;width:338.85pt;height:151.55pt;z-index:251661312;mso-position-horizontal-relative:text;mso-position-vertical-relative:text;mso-width-relative:margin;mso-height-relative:margin" coordsize="22183,8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">
                <v:shape id="_x0000_s1028" type="#_x0000_t202" style="position:absolute;top:6740;width:8850;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3875431B" w14:textId="7FA515DF" w:rsidR="00161763" w:rsidRPr="008451E1" w:rsidRDefault="00161763">
                        <w:pPr>
                          <w:rPr>
                            <w:sz w:val="24"/>
                          </w:rPr>
                        </w:pPr>
                        <w:r w:rsidRPr="008451E1">
                          <w:rPr>
                            <w:sz w:val="24"/>
                          </w:rPr>
                          <w:t>10 PRB, QPSK</w:t>
                        </w:r>
                      </w:p>
                    </w:txbxContent>
                  </v:textbox>
                </v:shape>
                <v:shape id="_x0000_s1029" type="#_x0000_t202" style="position:absolute;left:12805;width:9378;height:2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50EF7F48" w14:textId="1B06CF3A" w:rsidR="00161763" w:rsidRPr="008451E1" w:rsidRDefault="00161763" w:rsidP="00161763">
                        <w:pPr>
                          <w:rPr>
                            <w:sz w:val="24"/>
                          </w:rPr>
                        </w:pPr>
                        <w:r w:rsidRPr="008451E1">
                          <w:rPr>
                            <w:sz w:val="24"/>
                          </w:rPr>
                          <w:t>1 PRB, 16-QAM</w:t>
                        </w:r>
                      </w:p>
                    </w:txbxContent>
                  </v:textbox>
                </v:shape>
              </v:group>
            </w:pict>
          </mc:Fallback>
        </mc:AlternateContent>
      </w:r>
      <w:r w:rsidR="005A411E">
        <w:rPr>
          <w:noProof/>
          <w:lang w:val="en-US" w:eastAsia="en-US"/>
        </w:rPr>
        <mc:AlternateContent>
          <mc:Choice Requires="wps">
            <w:drawing>
              <wp:anchor distT="0" distB="0" distL="114300" distR="114300" simplePos="0" relativeHeight="251670528" behindDoc="0" locked="0" layoutInCell="1" allowOverlap="1" wp14:anchorId="5A8E6243" wp14:editId="03B26F2B">
                <wp:simplePos x="0" y="0"/>
                <wp:positionH relativeFrom="column">
                  <wp:posOffset>2904490</wp:posOffset>
                </wp:positionH>
                <wp:positionV relativeFrom="paragraph">
                  <wp:posOffset>1666875</wp:posOffset>
                </wp:positionV>
                <wp:extent cx="381000" cy="145415"/>
                <wp:effectExtent l="0" t="0" r="19050" b="26035"/>
                <wp:wrapNone/>
                <wp:docPr id="13" name="Oval 13"/>
                <wp:cNvGraphicFramePr/>
                <a:graphic xmlns:a="http://schemas.openxmlformats.org/drawingml/2006/main">
                  <a:graphicData uri="http://schemas.microsoft.com/office/word/2010/wordprocessingShape">
                    <wps:wsp>
                      <wps:cNvSpPr/>
                      <wps:spPr>
                        <a:xfrm>
                          <a:off x="0" y="0"/>
                          <a:ext cx="381000" cy="145415"/>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3" o:spid="_x0000_s1026" style="position:absolute;margin-left:228.7pt;margin-top:131.25pt;width:30pt;height:11.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" filled="f" strokecolor="#243f60 [1604]" strokeweight="1.5pt"/>
            </w:pict>
          </mc:Fallback>
        </mc:AlternateContent>
      </w:r>
      <w:r w:rsidR="007C2D38">
        <w:rPr>
          <w:rFonts w:eastAsia="MS Mincho" w:cs="Arial"/>
          <w:noProof/>
          <w:sz w:val="24"/>
          <w:lang w:val="en-US" w:eastAsia="en-US"/>
        </w:rPr>
        <w:drawing>
          <wp:inline distT="0" distB="0" distL="0" distR="0" wp14:anchorId="20913BC5" wp14:editId="7EAEB035">
            <wp:extent cx="6103620" cy="4579620"/>
            <wp:effectExtent l="0" t="0" r="0" b="0"/>
            <wp:docPr id="2" name="Picture 2" descr="P:\ECL\narrowband_lte\results\coexistence_nb_legacy\ran1_jan_ah_plots\print_versions\NBIOT_INBAND_CASE1_1692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L\narrowband_lte\results\coexistence_nb_legacy\ran1_jan_ah_plots\print_versions\NBIOT_INBAND_CASE1_16929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3620" cy="4579620"/>
                    </a:xfrm>
                    <a:prstGeom prst="rect">
                      <a:avLst/>
                    </a:prstGeom>
                    <a:noFill/>
                    <a:ln>
                      <a:noFill/>
                    </a:ln>
                  </pic:spPr>
                </pic:pic>
              </a:graphicData>
            </a:graphic>
          </wp:inline>
        </w:drawing>
      </w:r>
    </w:p>
    <w:p w14:paraId="1710C1DB" w14:textId="15A1A554" w:rsidR="00717F20" w:rsidRPr="003149C4" w:rsidRDefault="003149C4" w:rsidP="003149C4">
      <w:pPr>
        <w:pStyle w:val="Caption"/>
      </w:pPr>
      <w:bookmarkStart w:id="3" w:name="_Ref438167026"/>
      <w:r>
        <w:t xml:space="preserve">Figure </w:t>
      </w:r>
      <w:r>
        <w:fldChar w:fldCharType="begin"/>
      </w:r>
      <w:r>
        <w:instrText xml:space="preserve"> SEQ Figure \* ARABIC </w:instrText>
      </w:r>
      <w:r>
        <w:fldChar w:fldCharType="separate"/>
      </w:r>
      <w:r w:rsidR="00F76267">
        <w:rPr>
          <w:noProof/>
        </w:rPr>
        <w:t>1</w:t>
      </w:r>
      <w:r>
        <w:fldChar w:fldCharType="end"/>
      </w:r>
      <w:bookmarkEnd w:id="3"/>
      <w:r>
        <w:rPr>
          <w:noProof/>
        </w:rPr>
        <w:t xml:space="preserve"> </w:t>
      </w:r>
      <w:r w:rsidR="00894FA7">
        <w:rPr>
          <w:noProof/>
        </w:rPr>
        <w:t>For a NB-IOT SNR of 5 d</w:t>
      </w:r>
      <w:r w:rsidR="00D1181E">
        <w:rPr>
          <w:noProof/>
        </w:rPr>
        <w:t>B, t</w:t>
      </w:r>
      <w:r w:rsidRPr="00B23AB1">
        <w:rPr>
          <w:noProof/>
        </w:rPr>
        <w:t xml:space="preserve">here is </w:t>
      </w:r>
      <w:r w:rsidR="00D1181E">
        <w:rPr>
          <w:noProof/>
        </w:rPr>
        <w:t xml:space="preserve">negligible impact </w:t>
      </w:r>
      <w:r w:rsidR="00894FA7">
        <w:rPr>
          <w:noProof/>
        </w:rPr>
        <w:t xml:space="preserve">on inband NB-IOT deployment </w:t>
      </w:r>
      <w:r w:rsidR="00D1181E">
        <w:rPr>
          <w:noProof/>
        </w:rPr>
        <w:t xml:space="preserve">on LTE </w:t>
      </w:r>
      <w:r w:rsidR="00894FA7">
        <w:rPr>
          <w:noProof/>
        </w:rPr>
        <w:t xml:space="preserve">PUSCH </w:t>
      </w:r>
      <w:r w:rsidR="00D1181E">
        <w:rPr>
          <w:noProof/>
        </w:rPr>
        <w:t>performance</w:t>
      </w:r>
      <w:r w:rsidRPr="00B23AB1">
        <w:rPr>
          <w:noProof/>
        </w:rPr>
        <w:t xml:space="preserve"> with </w:t>
      </w:r>
      <w:r w:rsidR="00894FA7">
        <w:rPr>
          <w:noProof/>
        </w:rPr>
        <w:t>any of the three uplink transmission schemes</w:t>
      </w:r>
      <w:r>
        <w:rPr>
          <w:noProof/>
        </w:rPr>
        <w:t>.</w:t>
      </w:r>
    </w:p>
    <w:p w14:paraId="778D1114" w14:textId="64457290" w:rsidR="00315F3D" w:rsidRDefault="00984EE9" w:rsidP="006560D9">
      <w:pPr>
        <w:pStyle w:val="ListParagraph"/>
        <w:numPr>
          <w:ilvl w:val="0"/>
          <w:numId w:val="47"/>
        </w:numPr>
        <w:ind w:left="1418" w:hanging="1418"/>
        <w:rPr>
          <w:b/>
          <w:lang w:val="en-US"/>
        </w:rPr>
      </w:pPr>
      <w:bookmarkStart w:id="4" w:name="_Ref438199212"/>
      <w:r>
        <w:rPr>
          <w:b/>
          <w:lang w:val="en-US"/>
        </w:rPr>
        <w:t xml:space="preserve">For </w:t>
      </w:r>
      <w:r w:rsidR="00303387">
        <w:rPr>
          <w:b/>
          <w:lang w:val="en-US"/>
        </w:rPr>
        <w:t>normal</w:t>
      </w:r>
      <w:r>
        <w:rPr>
          <w:b/>
          <w:lang w:val="en-US"/>
        </w:rPr>
        <w:t xml:space="preserve"> NB-IOT SNR levels (e.g. </w:t>
      </w:r>
      <w:r w:rsidR="00303387">
        <w:rPr>
          <w:b/>
          <w:lang w:val="en-US"/>
        </w:rPr>
        <w:t>5 dB)</w:t>
      </w:r>
      <w:r>
        <w:rPr>
          <w:b/>
          <w:lang w:val="en-US"/>
        </w:rPr>
        <w:t xml:space="preserve"> </w:t>
      </w:r>
      <w:r w:rsidR="00303387">
        <w:rPr>
          <w:b/>
          <w:lang w:val="en-US"/>
        </w:rPr>
        <w:t xml:space="preserve">and </w:t>
      </w:r>
      <w:proofErr w:type="spellStart"/>
      <w:r w:rsidR="00303387">
        <w:rPr>
          <w:b/>
          <w:lang w:val="en-US"/>
        </w:rPr>
        <w:t>inband</w:t>
      </w:r>
      <w:proofErr w:type="spellEnd"/>
      <w:r w:rsidR="00303387">
        <w:rPr>
          <w:b/>
          <w:lang w:val="en-US"/>
        </w:rPr>
        <w:t xml:space="preserve"> deployment, the three considered UL NB-IOT transmission schemes have negligible impact on LTE PUSCH</w:t>
      </w:r>
      <w:r w:rsidR="006560D9">
        <w:rPr>
          <w:b/>
          <w:lang w:val="en-US"/>
        </w:rPr>
        <w:t>.</w:t>
      </w:r>
      <w:bookmarkEnd w:id="4"/>
    </w:p>
    <w:p w14:paraId="48EC0748" w14:textId="733687E0" w:rsidR="006560D9" w:rsidRDefault="006560D9" w:rsidP="00C955C7">
      <w:pPr>
        <w:pStyle w:val="ListParagraph"/>
        <w:ind w:left="1418"/>
        <w:rPr>
          <w:b/>
          <w:lang w:val="en-US"/>
        </w:rPr>
      </w:pPr>
    </w:p>
    <w:p w14:paraId="3727D75D" w14:textId="4C4D26BC" w:rsidR="00717F20" w:rsidRDefault="00717F20" w:rsidP="00717F20">
      <w:pPr>
        <w:rPr>
          <w:b/>
          <w:lang w:val="en-US"/>
        </w:rPr>
      </w:pPr>
      <w:r w:rsidRPr="00914EAC">
        <w:rPr>
          <w:b/>
          <w:lang w:val="en-US"/>
        </w:rPr>
        <w:t xml:space="preserve">Case 2: </w:t>
      </w:r>
      <w:r w:rsidR="00792767">
        <w:rPr>
          <w:b/>
          <w:lang w:val="en-US"/>
        </w:rPr>
        <w:t>NB-IOT impact</w:t>
      </w:r>
      <w:r w:rsidR="00914EAC">
        <w:rPr>
          <w:b/>
          <w:lang w:val="en-US"/>
        </w:rPr>
        <w:t xml:space="preserve"> on LTE PUCCH</w:t>
      </w:r>
    </w:p>
    <w:p w14:paraId="66F1F472" w14:textId="74F8DC45" w:rsidR="00423E8A" w:rsidRPr="00423E8A" w:rsidRDefault="00423E8A" w:rsidP="00717F20">
      <w:pPr>
        <w:rPr>
          <w:lang w:val="en-US"/>
        </w:rPr>
      </w:pPr>
      <w:r w:rsidRPr="00423E8A">
        <w:rPr>
          <w:lang w:val="en-US"/>
        </w:rPr>
        <w:t>The sim</w:t>
      </w:r>
      <w:r>
        <w:rPr>
          <w:lang w:val="en-US"/>
        </w:rPr>
        <w:t xml:space="preserve">ulation results are provided in </w:t>
      </w:r>
      <w:r w:rsidR="00C804B6">
        <w:rPr>
          <w:lang w:val="en-US"/>
        </w:rPr>
        <w:fldChar w:fldCharType="begin"/>
      </w:r>
      <w:r w:rsidR="00C804B6">
        <w:rPr>
          <w:lang w:val="en-US"/>
        </w:rPr>
        <w:instrText xml:space="preserve"> REF _Ref434589570 \h </w:instrText>
      </w:r>
      <w:r w:rsidR="00C804B6">
        <w:rPr>
          <w:lang w:val="en-US"/>
        </w:rPr>
      </w:r>
      <w:r w:rsidR="00C804B6">
        <w:rPr>
          <w:lang w:val="en-US"/>
        </w:rPr>
        <w:fldChar w:fldCharType="separate"/>
      </w:r>
      <w:r w:rsidR="00F76267">
        <w:t xml:space="preserve">Figure </w:t>
      </w:r>
      <w:r w:rsidR="00F76267">
        <w:rPr>
          <w:noProof/>
        </w:rPr>
        <w:t>2</w:t>
      </w:r>
      <w:r w:rsidR="00F76267">
        <w:t xml:space="preserve"> </w:t>
      </w:r>
      <w:r w:rsidR="00C804B6">
        <w:rPr>
          <w:lang w:val="en-US"/>
        </w:rPr>
        <w:fldChar w:fldCharType="end"/>
      </w:r>
      <w:r w:rsidR="00C804B6">
        <w:rPr>
          <w:lang w:val="en-US"/>
        </w:rPr>
        <w:t xml:space="preserve"> for</w:t>
      </w:r>
      <w:r w:rsidR="00792767">
        <w:rPr>
          <w:lang w:val="en-US"/>
        </w:rPr>
        <w:t xml:space="preserve"> NB-IOT impact on</w:t>
      </w:r>
      <w:r w:rsidR="00C804B6">
        <w:rPr>
          <w:lang w:val="en-US"/>
        </w:rPr>
        <w:t xml:space="preserve"> </w:t>
      </w:r>
      <w:r w:rsidR="00792767">
        <w:rPr>
          <w:lang w:val="en-US"/>
        </w:rPr>
        <w:t xml:space="preserve">LTE </w:t>
      </w:r>
      <w:r w:rsidR="00C804B6">
        <w:rPr>
          <w:lang w:val="en-US"/>
        </w:rPr>
        <w:t>PUCCH Format 1b transmission.</w:t>
      </w:r>
      <w:r w:rsidR="00450D80">
        <w:rPr>
          <w:lang w:val="en-US"/>
        </w:rPr>
        <w:t xml:space="preserve"> </w:t>
      </w:r>
      <w:r w:rsidR="00792767">
        <w:rPr>
          <w:lang w:val="en-US"/>
        </w:rPr>
        <w:t xml:space="preserve">The </w:t>
      </w:r>
      <w:r w:rsidR="00450D80">
        <w:rPr>
          <w:lang w:val="en-US"/>
        </w:rPr>
        <w:t xml:space="preserve">simulation parameters are obtained from </w:t>
      </w:r>
      <w:r w:rsidR="00450D80">
        <w:rPr>
          <w:lang w:val="en-US"/>
        </w:rPr>
        <w:fldChar w:fldCharType="begin"/>
      </w:r>
      <w:r w:rsidR="00450D80">
        <w:rPr>
          <w:lang w:val="en-US"/>
        </w:rPr>
        <w:instrText xml:space="preserve"> REF _Ref434576561 \w \h </w:instrText>
      </w:r>
      <w:r w:rsidR="00450D80">
        <w:rPr>
          <w:lang w:val="en-US"/>
        </w:rPr>
      </w:r>
      <w:r w:rsidR="00450D80">
        <w:rPr>
          <w:lang w:val="en-US"/>
        </w:rPr>
        <w:fldChar w:fldCharType="separate"/>
      </w:r>
      <w:r w:rsidR="00F76267">
        <w:rPr>
          <w:lang w:val="en-US"/>
        </w:rPr>
        <w:t>[3]</w:t>
      </w:r>
      <w:r w:rsidR="00450D80">
        <w:rPr>
          <w:lang w:val="en-US"/>
        </w:rPr>
        <w:fldChar w:fldCharType="end"/>
      </w:r>
      <w:r w:rsidR="00450D80">
        <w:rPr>
          <w:lang w:val="en-US"/>
        </w:rPr>
        <w:t>.</w:t>
      </w:r>
      <w:r w:rsidR="00C804B6">
        <w:rPr>
          <w:lang w:val="en-US"/>
        </w:rPr>
        <w:t xml:space="preserve"> </w:t>
      </w:r>
      <w:r w:rsidR="00450D80">
        <w:rPr>
          <w:lang w:val="en-US"/>
        </w:rPr>
        <w:t xml:space="preserve">It is observed that in this case, the impact of NB-IOT transmission is negligible for all three UL configurations. </w:t>
      </w:r>
      <w:r w:rsidR="00C804B6">
        <w:rPr>
          <w:lang w:val="en-US"/>
        </w:rPr>
        <w:t xml:space="preserve">It must be noted that the SNR range for PUCCH considered here is significantly lower than that for PUSCH </w:t>
      </w:r>
      <w:r w:rsidR="004D47C9">
        <w:rPr>
          <w:lang w:val="en-US"/>
        </w:rPr>
        <w:t>above</w:t>
      </w:r>
      <w:r w:rsidR="00C804B6">
        <w:rPr>
          <w:lang w:val="en-US"/>
        </w:rPr>
        <w:t xml:space="preserve">. </w:t>
      </w:r>
      <w:r w:rsidR="004C0B08">
        <w:rPr>
          <w:lang w:val="en-US"/>
        </w:rPr>
        <w:t xml:space="preserve">This implies that the interfering NB-IOT has a significantly larger SNR compared to the LTE UE. In spite of this, the impact on PUCCH is small on </w:t>
      </w:r>
      <w:r w:rsidR="004C0B08">
        <w:rPr>
          <w:lang w:val="en-US"/>
        </w:rPr>
        <w:lastRenderedPageBreak/>
        <w:t>account of lower coding rate of PUCCH compared to PUSCH and slot-level hopping across the LTE system bandwidth.</w:t>
      </w:r>
    </w:p>
    <w:p w14:paraId="558C4B10" w14:textId="2F74CB2D" w:rsidR="00423E8A" w:rsidRDefault="00270E2A" w:rsidP="00423E8A">
      <w:pPr>
        <w:keepNext/>
        <w:jc w:val="center"/>
      </w:pPr>
      <w:r w:rsidRPr="00270E2A">
        <w:rPr>
          <w:noProof/>
          <w:lang w:val="en-US" w:eastAsia="en-US"/>
        </w:rPr>
        <w:t xml:space="preserve"> </w:t>
      </w:r>
      <w:r w:rsidR="007C2D38">
        <w:rPr>
          <w:noProof/>
          <w:lang w:val="en-US" w:eastAsia="en-US"/>
        </w:rPr>
        <w:drawing>
          <wp:inline distT="0" distB="0" distL="0" distR="0" wp14:anchorId="2EA33D0A" wp14:editId="47696B3E">
            <wp:extent cx="6103620" cy="4579620"/>
            <wp:effectExtent l="0" t="0" r="0" b="0"/>
            <wp:docPr id="3" name="Picture 3" descr="P:\ECL\narrowband_lte\results\coexistence_nb_legacy\ran1_jan_ah_plots\print_versions\NBIOT_INBAND_CASE2_1693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CL\narrowband_lte\results\coexistence_nb_legacy\ran1_jan_ah_plots\print_versions\NBIOT_INBAND_CASE2_16939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3620" cy="4579620"/>
                    </a:xfrm>
                    <a:prstGeom prst="rect">
                      <a:avLst/>
                    </a:prstGeom>
                    <a:noFill/>
                    <a:ln>
                      <a:noFill/>
                    </a:ln>
                  </pic:spPr>
                </pic:pic>
              </a:graphicData>
            </a:graphic>
          </wp:inline>
        </w:drawing>
      </w:r>
    </w:p>
    <w:p w14:paraId="38EA7239" w14:textId="2888335A" w:rsidR="00CA3770" w:rsidRDefault="00423E8A" w:rsidP="00423E8A">
      <w:pPr>
        <w:pStyle w:val="Caption"/>
        <w:rPr>
          <w:lang w:val="en-US"/>
        </w:rPr>
      </w:pPr>
      <w:bookmarkStart w:id="5" w:name="_Ref434589570"/>
      <w:r>
        <w:t xml:space="preserve">Figure </w:t>
      </w:r>
      <w:r>
        <w:fldChar w:fldCharType="begin"/>
      </w:r>
      <w:r>
        <w:instrText xml:space="preserve"> SEQ Figure \* ARABIC </w:instrText>
      </w:r>
      <w:r>
        <w:fldChar w:fldCharType="separate"/>
      </w:r>
      <w:r w:rsidR="00F76267">
        <w:rPr>
          <w:noProof/>
        </w:rPr>
        <w:t>2</w:t>
      </w:r>
      <w:r>
        <w:fldChar w:fldCharType="end"/>
      </w:r>
      <w:r>
        <w:t xml:space="preserve"> </w:t>
      </w:r>
      <w:bookmarkEnd w:id="5"/>
      <w:r w:rsidR="001B0907">
        <w:rPr>
          <w:noProof/>
        </w:rPr>
        <w:t>For a NB-IOT SNR of 5 dB, t</w:t>
      </w:r>
      <w:r w:rsidR="001B0907" w:rsidRPr="00B23AB1">
        <w:rPr>
          <w:noProof/>
        </w:rPr>
        <w:t xml:space="preserve">here is </w:t>
      </w:r>
      <w:r w:rsidR="001B0907">
        <w:rPr>
          <w:noProof/>
        </w:rPr>
        <w:t xml:space="preserve">negligible impact on inband NB-IOT deployment on LTE </w:t>
      </w:r>
      <w:r w:rsidR="00303344">
        <w:rPr>
          <w:noProof/>
        </w:rPr>
        <w:t>PUCCH</w:t>
      </w:r>
      <w:r w:rsidR="001B0907">
        <w:rPr>
          <w:noProof/>
        </w:rPr>
        <w:t xml:space="preserve"> performance</w:t>
      </w:r>
      <w:r w:rsidR="001B0907" w:rsidRPr="00B23AB1">
        <w:rPr>
          <w:noProof/>
        </w:rPr>
        <w:t xml:space="preserve"> with </w:t>
      </w:r>
      <w:r w:rsidR="001B0907">
        <w:rPr>
          <w:noProof/>
        </w:rPr>
        <w:t>any of the three uplink transmission schemes.</w:t>
      </w:r>
    </w:p>
    <w:p w14:paraId="06A13DFD" w14:textId="643EF307" w:rsidR="00837207" w:rsidRPr="00303387" w:rsidRDefault="00303387" w:rsidP="00303387">
      <w:pPr>
        <w:pStyle w:val="ListParagraph"/>
        <w:numPr>
          <w:ilvl w:val="0"/>
          <w:numId w:val="47"/>
        </w:numPr>
        <w:ind w:left="1418" w:hanging="1418"/>
        <w:rPr>
          <w:b/>
          <w:lang w:val="en-US"/>
        </w:rPr>
      </w:pPr>
      <w:bookmarkStart w:id="6" w:name="_Ref438199227"/>
      <w:r>
        <w:rPr>
          <w:b/>
          <w:lang w:val="en-US"/>
        </w:rPr>
        <w:t xml:space="preserve">For normal NB-IOT SNR levels (e.g. 5 dB) and </w:t>
      </w:r>
      <w:proofErr w:type="spellStart"/>
      <w:r>
        <w:rPr>
          <w:b/>
          <w:lang w:val="en-US"/>
        </w:rPr>
        <w:t>inband</w:t>
      </w:r>
      <w:proofErr w:type="spellEnd"/>
      <w:r>
        <w:rPr>
          <w:b/>
          <w:lang w:val="en-US"/>
        </w:rPr>
        <w:t xml:space="preserve"> deployment, the three considered UL NB-IOT transmission schemes have negligible impact on LTE PUCCH</w:t>
      </w:r>
      <w:r w:rsidR="006560D9" w:rsidRPr="00303387">
        <w:rPr>
          <w:b/>
          <w:lang w:val="en-US"/>
        </w:rPr>
        <w:t>.</w:t>
      </w:r>
      <w:bookmarkEnd w:id="6"/>
    </w:p>
    <w:p w14:paraId="2012025C" w14:textId="6071810F" w:rsidR="006F6842" w:rsidRDefault="00BF34BD" w:rsidP="006F6842">
      <w:pPr>
        <w:pStyle w:val="Heading2"/>
        <w:rPr>
          <w:lang w:val="en-US"/>
        </w:rPr>
      </w:pPr>
      <w:bookmarkStart w:id="7" w:name="_Ref434588789"/>
      <w:proofErr w:type="spellStart"/>
      <w:r>
        <w:rPr>
          <w:lang w:val="en-US"/>
        </w:rPr>
        <w:t>Guardband</w:t>
      </w:r>
      <w:proofErr w:type="spellEnd"/>
      <w:r>
        <w:rPr>
          <w:lang w:val="en-US"/>
        </w:rPr>
        <w:t xml:space="preserve"> Deployment</w:t>
      </w:r>
      <w:bookmarkEnd w:id="7"/>
    </w:p>
    <w:p w14:paraId="7ADDCEA4" w14:textId="6EB12711" w:rsidR="00BF34BD" w:rsidRDefault="00C316FA" w:rsidP="00BF34BD">
      <w:pPr>
        <w:rPr>
          <w:lang w:val="en-US"/>
        </w:rPr>
      </w:pPr>
      <w:r>
        <w:rPr>
          <w:lang w:val="en-US"/>
        </w:rPr>
        <w:t xml:space="preserve">In this section we present link-level evaluation results for the case when the NB-IOT carrier is located within the guard band of the LTE UL system bandwidth. </w:t>
      </w:r>
      <w:r w:rsidR="00F73C67" w:rsidRPr="00423E8A">
        <w:rPr>
          <w:lang w:val="en-US"/>
        </w:rPr>
        <w:t>The sim</w:t>
      </w:r>
      <w:r w:rsidR="00F73C67">
        <w:rPr>
          <w:lang w:val="en-US"/>
        </w:rPr>
        <w:t xml:space="preserve">ulation results are provided in </w:t>
      </w:r>
      <w:r w:rsidR="00F73C67">
        <w:rPr>
          <w:lang w:val="en-US"/>
        </w:rPr>
        <w:fldChar w:fldCharType="begin"/>
      </w:r>
      <w:r w:rsidR="00F73C67">
        <w:rPr>
          <w:lang w:val="en-US"/>
        </w:rPr>
        <w:instrText xml:space="preserve"> REF _Ref438167064 \h </w:instrText>
      </w:r>
      <w:r w:rsidR="00F73C67">
        <w:rPr>
          <w:lang w:val="en-US"/>
        </w:rPr>
      </w:r>
      <w:r w:rsidR="00F73C67">
        <w:rPr>
          <w:lang w:val="en-US"/>
        </w:rPr>
        <w:fldChar w:fldCharType="separate"/>
      </w:r>
      <w:r w:rsidR="00F76267">
        <w:t xml:space="preserve">Figure </w:t>
      </w:r>
      <w:r w:rsidR="00F76267">
        <w:rPr>
          <w:noProof/>
        </w:rPr>
        <w:t>3</w:t>
      </w:r>
      <w:r w:rsidR="00F73C67">
        <w:rPr>
          <w:lang w:val="en-US"/>
        </w:rPr>
        <w:fldChar w:fldCharType="end"/>
      </w:r>
      <w:r w:rsidR="00F73C67">
        <w:rPr>
          <w:lang w:val="en-US"/>
        </w:rPr>
        <w:t xml:space="preserve"> for </w:t>
      </w:r>
      <w:r>
        <w:rPr>
          <w:lang w:val="en-US"/>
        </w:rPr>
        <w:t xml:space="preserve">NB-IOT on </w:t>
      </w:r>
      <w:r w:rsidR="00F73C67">
        <w:rPr>
          <w:lang w:val="en-US"/>
        </w:rPr>
        <w:t xml:space="preserve">PUCCH Format 1b transmission. </w:t>
      </w:r>
      <w:r w:rsidR="00D3237A">
        <w:rPr>
          <w:lang w:val="en-US"/>
        </w:rPr>
        <w:t xml:space="preserve">The simulation results are obtained from </w:t>
      </w:r>
      <w:r w:rsidR="00D3237A">
        <w:rPr>
          <w:lang w:val="en-US"/>
        </w:rPr>
        <w:fldChar w:fldCharType="begin"/>
      </w:r>
      <w:r w:rsidR="00D3237A">
        <w:rPr>
          <w:lang w:val="en-US"/>
        </w:rPr>
        <w:instrText xml:space="preserve"> REF _Ref434576563 \w \h </w:instrText>
      </w:r>
      <w:r w:rsidR="00D3237A">
        <w:rPr>
          <w:lang w:val="en-US"/>
        </w:rPr>
      </w:r>
      <w:r w:rsidR="00D3237A">
        <w:rPr>
          <w:lang w:val="en-US"/>
        </w:rPr>
        <w:fldChar w:fldCharType="separate"/>
      </w:r>
      <w:r w:rsidR="00F76267">
        <w:rPr>
          <w:lang w:val="en-US"/>
        </w:rPr>
        <w:t>[4]</w:t>
      </w:r>
      <w:r w:rsidR="00D3237A">
        <w:rPr>
          <w:lang w:val="en-US"/>
        </w:rPr>
        <w:fldChar w:fldCharType="end"/>
      </w:r>
      <w:r w:rsidR="00D3237A">
        <w:rPr>
          <w:lang w:val="en-US"/>
        </w:rPr>
        <w:t xml:space="preserve">. </w:t>
      </w:r>
      <w:r w:rsidR="00125AA0">
        <w:rPr>
          <w:lang w:val="en-US"/>
        </w:rPr>
        <w:t xml:space="preserve">It is observed that </w:t>
      </w:r>
      <w:r w:rsidR="00F73C67">
        <w:rPr>
          <w:lang w:val="en-US"/>
        </w:rPr>
        <w:t xml:space="preserve">the impact of NB-IOT transmission is quite small </w:t>
      </w:r>
      <w:r w:rsidR="00125AA0">
        <w:rPr>
          <w:lang w:val="en-US"/>
        </w:rPr>
        <w:t xml:space="preserve">for all the three </w:t>
      </w:r>
      <w:r w:rsidR="005C0E77">
        <w:rPr>
          <w:lang w:val="en-US"/>
        </w:rPr>
        <w:t xml:space="preserve">evaluated </w:t>
      </w:r>
      <w:r w:rsidR="003E624D">
        <w:rPr>
          <w:lang w:val="en-US"/>
        </w:rPr>
        <w:t>NB-IOT configurat</w:t>
      </w:r>
      <w:r w:rsidR="00125AA0">
        <w:rPr>
          <w:lang w:val="en-US"/>
        </w:rPr>
        <w:t>ions</w:t>
      </w:r>
      <w:r w:rsidR="00F73C67">
        <w:rPr>
          <w:lang w:val="en-US"/>
        </w:rPr>
        <w:t>.</w:t>
      </w:r>
    </w:p>
    <w:p w14:paraId="64372E72" w14:textId="575BC9B9" w:rsidR="00BF34BD" w:rsidRDefault="007C2D38" w:rsidP="00BF34BD">
      <w:pPr>
        <w:keepNext/>
        <w:jc w:val="center"/>
      </w:pPr>
      <w:r>
        <w:rPr>
          <w:noProof/>
          <w:lang w:val="en-US" w:eastAsia="en-US"/>
        </w:rPr>
        <w:lastRenderedPageBreak/>
        <w:drawing>
          <wp:inline distT="0" distB="0" distL="0" distR="0" wp14:anchorId="3DD1B618" wp14:editId="7756B4F7">
            <wp:extent cx="6111240" cy="4579620"/>
            <wp:effectExtent l="0" t="0" r="3810" b="0"/>
            <wp:docPr id="4" name="Picture 4" descr="P:\ECL\narrowband_lte\results\coexistence_nb_legacy\ran1_jan_ah_plots\print_versions\NBIOT_GUARDBAND_169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ECL\narrowband_lte\results\coexistence_nb_legacy\ran1_jan_ah_plots\print_versions\NBIOT_GUARDBAND_1693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240" cy="4579620"/>
                    </a:xfrm>
                    <a:prstGeom prst="rect">
                      <a:avLst/>
                    </a:prstGeom>
                    <a:noFill/>
                    <a:ln>
                      <a:noFill/>
                    </a:ln>
                  </pic:spPr>
                </pic:pic>
              </a:graphicData>
            </a:graphic>
          </wp:inline>
        </w:drawing>
      </w:r>
    </w:p>
    <w:p w14:paraId="2A4D504E" w14:textId="7ED88181" w:rsidR="00BF34BD" w:rsidRDefault="00BF34BD" w:rsidP="00BF34BD">
      <w:pPr>
        <w:pStyle w:val="Caption"/>
      </w:pPr>
      <w:bookmarkStart w:id="8" w:name="_Ref438167064"/>
      <w:r>
        <w:t xml:space="preserve">Figure </w:t>
      </w:r>
      <w:r>
        <w:fldChar w:fldCharType="begin"/>
      </w:r>
      <w:r>
        <w:instrText xml:space="preserve"> SEQ Figure \* ARABIC </w:instrText>
      </w:r>
      <w:r>
        <w:fldChar w:fldCharType="separate"/>
      </w:r>
      <w:r w:rsidR="00F76267">
        <w:rPr>
          <w:noProof/>
        </w:rPr>
        <w:t>3</w:t>
      </w:r>
      <w:r>
        <w:fldChar w:fldCharType="end"/>
      </w:r>
      <w:bookmarkEnd w:id="8"/>
      <w:r>
        <w:t xml:space="preserve"> </w:t>
      </w:r>
      <w:r w:rsidR="008154A7">
        <w:rPr>
          <w:noProof/>
        </w:rPr>
        <w:t>For a NB-IOT SNR of 5 dB, t</w:t>
      </w:r>
      <w:r w:rsidR="008154A7" w:rsidRPr="00B23AB1">
        <w:rPr>
          <w:noProof/>
        </w:rPr>
        <w:t xml:space="preserve">here is </w:t>
      </w:r>
      <w:r w:rsidR="008154A7">
        <w:rPr>
          <w:noProof/>
        </w:rPr>
        <w:t>negligible impact on guardband NB-IOT deployment on LTE PUCCH performance</w:t>
      </w:r>
      <w:r w:rsidR="008154A7" w:rsidRPr="00B23AB1">
        <w:rPr>
          <w:noProof/>
        </w:rPr>
        <w:t xml:space="preserve"> with </w:t>
      </w:r>
      <w:r w:rsidR="008154A7">
        <w:rPr>
          <w:noProof/>
        </w:rPr>
        <w:t>any of the three uplink transmission schemes.</w:t>
      </w:r>
    </w:p>
    <w:p w14:paraId="0CFAEA76" w14:textId="23F8A4AD" w:rsidR="006560D9" w:rsidRPr="00CC08AD" w:rsidRDefault="00CC08AD" w:rsidP="00CC08AD">
      <w:pPr>
        <w:pStyle w:val="ListParagraph"/>
        <w:numPr>
          <w:ilvl w:val="0"/>
          <w:numId w:val="47"/>
        </w:numPr>
        <w:ind w:left="1418" w:hanging="1418"/>
        <w:rPr>
          <w:b/>
          <w:lang w:val="en-US"/>
        </w:rPr>
      </w:pPr>
      <w:bookmarkStart w:id="9" w:name="_Ref438462470"/>
      <w:r>
        <w:rPr>
          <w:b/>
          <w:lang w:val="en-US"/>
        </w:rPr>
        <w:t xml:space="preserve">For normal NB-IOT SNR levels (e.g. 5 dB) and </w:t>
      </w:r>
      <w:proofErr w:type="spellStart"/>
      <w:r>
        <w:rPr>
          <w:b/>
          <w:lang w:val="en-US"/>
        </w:rPr>
        <w:t>guardband</w:t>
      </w:r>
      <w:proofErr w:type="spellEnd"/>
      <w:r>
        <w:rPr>
          <w:b/>
          <w:lang w:val="en-US"/>
        </w:rPr>
        <w:t xml:space="preserve"> deployment, the three considered UL NB-IOT transmission schemes have negligible impact on LTE PUSCH.</w:t>
      </w:r>
      <w:bookmarkEnd w:id="9"/>
    </w:p>
    <w:p w14:paraId="5469641C" w14:textId="77777777" w:rsidR="007C2D38" w:rsidRDefault="007C2D38" w:rsidP="007C2D38">
      <w:pPr>
        <w:rPr>
          <w:b/>
          <w:lang w:val="en-US"/>
        </w:rPr>
      </w:pPr>
    </w:p>
    <w:p w14:paraId="4FD4E4EB" w14:textId="7BB152F6" w:rsidR="007C2D38" w:rsidRDefault="007C2D38" w:rsidP="00F03F24">
      <w:pPr>
        <w:pStyle w:val="Heading2"/>
        <w:rPr>
          <w:lang w:val="en-US"/>
        </w:rPr>
      </w:pPr>
      <w:r>
        <w:rPr>
          <w:lang w:val="en-US"/>
        </w:rPr>
        <w:t xml:space="preserve">High </w:t>
      </w:r>
      <w:r w:rsidR="00F03F24">
        <w:rPr>
          <w:lang w:val="en-US"/>
        </w:rPr>
        <w:t>NB-IOT SNR T</w:t>
      </w:r>
      <w:r>
        <w:rPr>
          <w:lang w:val="en-US"/>
        </w:rPr>
        <w:t>arget</w:t>
      </w:r>
      <w:r w:rsidR="00F03F24">
        <w:rPr>
          <w:lang w:val="en-US"/>
        </w:rPr>
        <w:t xml:space="preserve"> (15 dB)</w:t>
      </w:r>
    </w:p>
    <w:p w14:paraId="4D30D243" w14:textId="46AD2077" w:rsidR="007C2D38" w:rsidRPr="004A33C9" w:rsidRDefault="004A33C9" w:rsidP="007C2D38">
      <w:pPr>
        <w:rPr>
          <w:lang w:val="en-US"/>
        </w:rPr>
      </w:pPr>
      <w:r>
        <w:rPr>
          <w:lang w:val="en-US"/>
        </w:rPr>
        <w:t xml:space="preserve">It is possible that the NB-IOT SNR is higher than what has been considered in previous sections. This might happen on account of channel variations, or in the case when only a fraction of the </w:t>
      </w:r>
      <w:proofErr w:type="spellStart"/>
      <w:r>
        <w:rPr>
          <w:lang w:val="en-US"/>
        </w:rPr>
        <w:t>eNodeBs</w:t>
      </w:r>
      <w:proofErr w:type="spellEnd"/>
      <w:r>
        <w:rPr>
          <w:lang w:val="en-US"/>
        </w:rPr>
        <w:t xml:space="preserve"> are upgraded to support NB-IOT, leading to near-far effects at the non-upgraded </w:t>
      </w:r>
      <w:proofErr w:type="spellStart"/>
      <w:r>
        <w:rPr>
          <w:lang w:val="en-US"/>
        </w:rPr>
        <w:t>eNodeBs</w:t>
      </w:r>
      <w:proofErr w:type="spellEnd"/>
      <w:r>
        <w:rPr>
          <w:lang w:val="en-US"/>
        </w:rPr>
        <w:t>.</w:t>
      </w:r>
      <w:r w:rsidR="000B397E">
        <w:rPr>
          <w:lang w:val="en-US"/>
        </w:rPr>
        <w:t xml:space="preserve"> </w:t>
      </w:r>
      <w:r w:rsidR="000B397E" w:rsidRPr="00914EAC">
        <w:rPr>
          <w:lang w:val="en-US"/>
        </w:rPr>
        <w:t xml:space="preserve">The </w:t>
      </w:r>
      <w:r w:rsidR="000B397E">
        <w:rPr>
          <w:lang w:val="en-US"/>
        </w:rPr>
        <w:t xml:space="preserve">simulation results are provided in </w:t>
      </w:r>
      <w:r w:rsidR="000B397E">
        <w:rPr>
          <w:lang w:val="en-US"/>
        </w:rPr>
        <w:fldChar w:fldCharType="begin"/>
      </w:r>
      <w:r w:rsidR="000B397E">
        <w:rPr>
          <w:lang w:val="en-US"/>
        </w:rPr>
        <w:instrText xml:space="preserve"> REF _Ref438463578 \h </w:instrText>
      </w:r>
      <w:r w:rsidR="000B397E">
        <w:rPr>
          <w:lang w:val="en-US"/>
        </w:rPr>
      </w:r>
      <w:r w:rsidR="000B397E">
        <w:rPr>
          <w:lang w:val="en-US"/>
        </w:rPr>
        <w:fldChar w:fldCharType="separate"/>
      </w:r>
      <w:r w:rsidR="00F76267">
        <w:t xml:space="preserve">Figure </w:t>
      </w:r>
      <w:r w:rsidR="00F76267">
        <w:rPr>
          <w:noProof/>
        </w:rPr>
        <w:t>4</w:t>
      </w:r>
      <w:r w:rsidR="000B397E">
        <w:rPr>
          <w:lang w:val="en-US"/>
        </w:rPr>
        <w:fldChar w:fldCharType="end"/>
      </w:r>
      <w:r w:rsidR="000B397E">
        <w:rPr>
          <w:lang w:val="en-US"/>
        </w:rPr>
        <w:t xml:space="preserve"> for NB-IOT impact on LTE PUSCH transmission spanning (a) 1 PRB with 16-QAM and (b) 10 PRBs with QPSK. The simulation parameters are obtained from </w:t>
      </w:r>
      <w:r w:rsidR="000B397E">
        <w:rPr>
          <w:lang w:val="en-US"/>
        </w:rPr>
        <w:fldChar w:fldCharType="begin"/>
      </w:r>
      <w:r w:rsidR="000B397E">
        <w:rPr>
          <w:lang w:val="en-US"/>
        </w:rPr>
        <w:instrText xml:space="preserve"> REF _Ref434576561 \w \h </w:instrText>
      </w:r>
      <w:r w:rsidR="000B397E">
        <w:rPr>
          <w:lang w:val="en-US"/>
        </w:rPr>
      </w:r>
      <w:r w:rsidR="000B397E">
        <w:rPr>
          <w:lang w:val="en-US"/>
        </w:rPr>
        <w:fldChar w:fldCharType="separate"/>
      </w:r>
      <w:r w:rsidR="00F76267">
        <w:rPr>
          <w:lang w:val="en-US"/>
        </w:rPr>
        <w:t>[3]</w:t>
      </w:r>
      <w:r w:rsidR="000B397E">
        <w:rPr>
          <w:lang w:val="en-US"/>
        </w:rPr>
        <w:fldChar w:fldCharType="end"/>
      </w:r>
      <w:r w:rsidR="000B397E">
        <w:rPr>
          <w:lang w:val="en-US"/>
        </w:rPr>
        <w:t>. It is observed that there is almost no impact of NB-IOT with 15 kHz UL subcarrier spacing with normal CP on LTE PUSCH. However with ECP and with 3.75 kHz UL subcarrier spacing, there is ~1 dB performance degradation in case of 1-PRB PUSCH allocation. For 10-PRB LTE PUSCH allocation, the degradation is quite small (~0.2 dB) for ECP and 3.75 kHz subcarrier spacing.</w:t>
      </w:r>
    </w:p>
    <w:p w14:paraId="7080797A" w14:textId="77777777" w:rsidR="00F76922" w:rsidRDefault="007C2D38" w:rsidP="00F76922">
      <w:pPr>
        <w:keepNext/>
      </w:pPr>
      <w:r w:rsidRPr="007C2D38">
        <w:rPr>
          <w:b/>
          <w:noProof/>
          <w:lang w:val="en-US" w:eastAsia="en-US"/>
        </w:rPr>
        <w:lastRenderedPageBreak/>
        <mc:AlternateContent>
          <mc:Choice Requires="wps">
            <w:drawing>
              <wp:anchor distT="0" distB="0" distL="114300" distR="114300" simplePos="0" relativeHeight="251675648" behindDoc="0" locked="0" layoutInCell="1" allowOverlap="1" wp14:anchorId="002E4DA7" wp14:editId="4FEDCBD1">
                <wp:simplePos x="0" y="0"/>
                <wp:positionH relativeFrom="column">
                  <wp:posOffset>3361690</wp:posOffset>
                </wp:positionH>
                <wp:positionV relativeFrom="paragraph">
                  <wp:posOffset>1671955</wp:posOffset>
                </wp:positionV>
                <wp:extent cx="639983" cy="121920"/>
                <wp:effectExtent l="0" t="0" r="27305" b="11430"/>
                <wp:wrapNone/>
                <wp:docPr id="15" name="Oval 15"/>
                <wp:cNvGraphicFramePr/>
                <a:graphic xmlns:a="http://schemas.openxmlformats.org/drawingml/2006/main">
                  <a:graphicData uri="http://schemas.microsoft.com/office/word/2010/wordprocessingShape">
                    <wps:wsp>
                      <wps:cNvSpPr/>
                      <wps:spPr>
                        <a:xfrm>
                          <a:off x="0" y="0"/>
                          <a:ext cx="639983" cy="121920"/>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5" o:spid="_x0000_s1026" style="position:absolute;margin-left:264.7pt;margin-top:131.65pt;width:50.4pt;height:9.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" filled="f" strokecolor="#243f60 [1604]" strokeweight="1.5pt"/>
            </w:pict>
          </mc:Fallback>
        </mc:AlternateContent>
      </w:r>
      <w:r w:rsidRPr="007C2D38">
        <w:rPr>
          <w:b/>
          <w:noProof/>
          <w:lang w:val="en-US" w:eastAsia="en-US"/>
        </w:rPr>
        <mc:AlternateContent>
          <mc:Choice Requires="wps">
            <w:drawing>
              <wp:anchor distT="0" distB="0" distL="114300" distR="114300" simplePos="0" relativeHeight="251674624" behindDoc="0" locked="0" layoutInCell="1" allowOverlap="1" wp14:anchorId="0894487B" wp14:editId="06F870EC">
                <wp:simplePos x="0" y="0"/>
                <wp:positionH relativeFrom="column">
                  <wp:posOffset>1974215</wp:posOffset>
                </wp:positionH>
                <wp:positionV relativeFrom="paragraph">
                  <wp:posOffset>3253740</wp:posOffset>
                </wp:positionV>
                <wp:extent cx="290830" cy="90805"/>
                <wp:effectExtent l="0" t="0" r="13970" b="23495"/>
                <wp:wrapNone/>
                <wp:docPr id="14" name="Oval 14"/>
                <wp:cNvGraphicFramePr/>
                <a:graphic xmlns:a="http://schemas.openxmlformats.org/drawingml/2006/main">
                  <a:graphicData uri="http://schemas.microsoft.com/office/word/2010/wordprocessingShape">
                    <wps:wsp>
                      <wps:cNvSpPr/>
                      <wps:spPr>
                        <a:xfrm>
                          <a:off x="0" y="0"/>
                          <a:ext cx="290830" cy="90805"/>
                        </a:xfrm>
                        <a:prstGeom prst="ellipse">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4" o:spid="_x0000_s1026" style="position:absolute;margin-left:155.45pt;margin-top:256.2pt;width:22.9pt;height:7.1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" filled="f" strokecolor="#243f60 [1604]" strokeweight="1.5pt"/>
            </w:pict>
          </mc:Fallback>
        </mc:AlternateContent>
      </w:r>
      <w:r>
        <w:rPr>
          <w:noProof/>
          <w:lang w:val="en-US" w:eastAsia="en-US"/>
        </w:rPr>
        <mc:AlternateContent>
          <mc:Choice Requires="wpg">
            <w:drawing>
              <wp:anchor distT="0" distB="0" distL="114300" distR="114300" simplePos="0" relativeHeight="251672576" behindDoc="0" locked="0" layoutInCell="1" allowOverlap="1" wp14:anchorId="347339B8" wp14:editId="6F897351">
                <wp:simplePos x="0" y="0"/>
                <wp:positionH relativeFrom="column">
                  <wp:posOffset>778510</wp:posOffset>
                </wp:positionH>
                <wp:positionV relativeFrom="paragraph">
                  <wp:posOffset>1618615</wp:posOffset>
                </wp:positionV>
                <wp:extent cx="5042535" cy="2016125"/>
                <wp:effectExtent l="0" t="0" r="0" b="3175"/>
                <wp:wrapNone/>
                <wp:docPr id="7" name="Group 7"/>
                <wp:cNvGraphicFramePr/>
                <a:graphic xmlns:a="http://schemas.openxmlformats.org/drawingml/2006/main">
                  <a:graphicData uri="http://schemas.microsoft.com/office/word/2010/wordprocessingGroup">
                    <wpg:wgp>
                      <wpg:cNvGrpSpPr/>
                      <wpg:grpSpPr>
                        <a:xfrm>
                          <a:off x="0" y="0"/>
                          <a:ext cx="5042535" cy="2016125"/>
                          <a:chOff x="0" y="-42607"/>
                          <a:chExt cx="2599315" cy="939422"/>
                        </a:xfrm>
                      </wpg:grpSpPr>
                      <wps:wsp>
                        <wps:cNvPr id="8" name="Text Box 2"/>
                        <wps:cNvSpPr txBox="1">
                          <a:spLocks noChangeArrowheads="1"/>
                        </wps:cNvSpPr>
                        <wps:spPr bwMode="auto">
                          <a:xfrm>
                            <a:off x="0" y="674077"/>
                            <a:ext cx="885092" cy="222738"/>
                          </a:xfrm>
                          <a:prstGeom prst="rect">
                            <a:avLst/>
                          </a:prstGeom>
                          <a:noFill/>
                          <a:ln w="9525">
                            <a:noFill/>
                            <a:miter lim="800000"/>
                            <a:headEnd/>
                            <a:tailEnd/>
                          </a:ln>
                        </wps:spPr>
                        <wps:txbx>
                          <w:txbxContent>
                            <w:p w14:paraId="7BF0CFAB" w14:textId="77777777" w:rsidR="007C2D38" w:rsidRPr="008451E1" w:rsidRDefault="007C2D38" w:rsidP="007C2D38">
                              <w:pPr>
                                <w:rPr>
                                  <w:sz w:val="24"/>
                                </w:rPr>
                              </w:pPr>
                              <w:r w:rsidRPr="008451E1">
                                <w:rPr>
                                  <w:sz w:val="24"/>
                                </w:rPr>
                                <w:t>10 PRB, QPSK</w:t>
                              </w:r>
                            </w:p>
                          </w:txbxContent>
                        </wps:txbx>
                        <wps:bodyPr rot="0" vert="horz" wrap="square" lIns="91440" tIns="45720" rIns="91440" bIns="45720" anchor="t" anchorCtr="0">
                          <a:noAutofit/>
                        </wps:bodyPr>
                      </wps:wsp>
                      <wps:wsp>
                        <wps:cNvPr id="10" name="Text Box 2"/>
                        <wps:cNvSpPr txBox="1">
                          <a:spLocks noChangeArrowheads="1"/>
                        </wps:cNvSpPr>
                        <wps:spPr bwMode="auto">
                          <a:xfrm>
                            <a:off x="1661469" y="-42607"/>
                            <a:ext cx="937846" cy="257908"/>
                          </a:xfrm>
                          <a:prstGeom prst="rect">
                            <a:avLst/>
                          </a:prstGeom>
                          <a:noFill/>
                          <a:ln w="9525">
                            <a:noFill/>
                            <a:miter lim="800000"/>
                            <a:headEnd/>
                            <a:tailEnd/>
                          </a:ln>
                        </wps:spPr>
                        <wps:txbx>
                          <w:txbxContent>
                            <w:p w14:paraId="3BA7A144" w14:textId="77777777" w:rsidR="007C2D38" w:rsidRPr="008451E1" w:rsidRDefault="007C2D38" w:rsidP="007C2D38">
                              <w:pPr>
                                <w:rPr>
                                  <w:sz w:val="24"/>
                                </w:rPr>
                              </w:pPr>
                              <w:r w:rsidRPr="008451E1">
                                <w:rPr>
                                  <w:sz w:val="24"/>
                                </w:rPr>
                                <w:t>1 PRB, 16-QAM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7" o:spid="_x0000_s1030" style="position:absolute;left:0;text-align:left;margin-left:61.3pt;margin-top:127.45pt;width:397.05pt;height:158.75pt;z-index:251672576;mso-position-horizontal-relative:text;mso-position-vertical-relative:text;mso-width-relative:margin;mso-height-relative:margin" coordorigin=",-426" coordsize="25993,9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">
                <v:shape id="_x0000_s1031" type="#_x0000_t202" style="position:absolute;top:6740;width:8850;height:2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7BF0CFAB" w14:textId="77777777" w:rsidR="007C2D38" w:rsidRPr="008451E1" w:rsidRDefault="007C2D38" w:rsidP="007C2D38">
                        <w:pPr>
                          <w:rPr>
                            <w:sz w:val="24"/>
                          </w:rPr>
                        </w:pPr>
                        <w:r w:rsidRPr="008451E1">
                          <w:rPr>
                            <w:sz w:val="24"/>
                          </w:rPr>
                          <w:t>10 PRB, QPSK</w:t>
                        </w:r>
                      </w:p>
                    </w:txbxContent>
                  </v:textbox>
                </v:shape>
                <v:shape id="_x0000_s1032" type="#_x0000_t202" style="position:absolute;left:16614;top:-426;width:9379;height:2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BA7A144" w14:textId="77777777" w:rsidR="007C2D38" w:rsidRPr="008451E1" w:rsidRDefault="007C2D38" w:rsidP="007C2D38">
                        <w:pPr>
                          <w:rPr>
                            <w:sz w:val="24"/>
                          </w:rPr>
                        </w:pPr>
                        <w:r w:rsidRPr="008451E1">
                          <w:rPr>
                            <w:sz w:val="24"/>
                          </w:rPr>
                          <w:t>1 PRB, 16-QAM</w:t>
                        </w:r>
                      </w:p>
                    </w:txbxContent>
                  </v:textbox>
                </v:shape>
              </v:group>
            </w:pict>
          </mc:Fallback>
        </mc:AlternateContent>
      </w:r>
      <w:r>
        <w:rPr>
          <w:b/>
          <w:noProof/>
          <w:lang w:val="en-US" w:eastAsia="en-US"/>
        </w:rPr>
        <w:drawing>
          <wp:inline distT="0" distB="0" distL="0" distR="0" wp14:anchorId="2E4208A2" wp14:editId="0719E370">
            <wp:extent cx="6111240" cy="4579620"/>
            <wp:effectExtent l="0" t="0" r="3810" b="0"/>
            <wp:docPr id="5" name="Picture 5" descr="P:\ECL\narrowband_lte\results\coexistence_nb_legacy\ran1_jan_ah_plots\print_versions\NBIOT_INBAND_CASE1_15dB_1692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CL\narrowband_lte\results\coexistence_nb_legacy\ran1_jan_ah_plots\print_versions\NBIOT_INBAND_CASE1_15dB_16929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1240" cy="4579620"/>
                    </a:xfrm>
                    <a:prstGeom prst="rect">
                      <a:avLst/>
                    </a:prstGeom>
                    <a:noFill/>
                    <a:ln>
                      <a:noFill/>
                    </a:ln>
                  </pic:spPr>
                </pic:pic>
              </a:graphicData>
            </a:graphic>
          </wp:inline>
        </w:drawing>
      </w:r>
    </w:p>
    <w:p w14:paraId="2F1F4F6A" w14:textId="797716A8" w:rsidR="007C2D38" w:rsidRDefault="00F76922" w:rsidP="00F76922">
      <w:pPr>
        <w:pStyle w:val="Caption"/>
      </w:pPr>
      <w:bookmarkStart w:id="10" w:name="_Ref438463578"/>
      <w:r>
        <w:t xml:space="preserve">Figure </w:t>
      </w:r>
      <w:r>
        <w:fldChar w:fldCharType="begin"/>
      </w:r>
      <w:r>
        <w:instrText xml:space="preserve"> SEQ Figure \* ARABIC </w:instrText>
      </w:r>
      <w:r>
        <w:fldChar w:fldCharType="separate"/>
      </w:r>
      <w:r w:rsidR="00F76267">
        <w:rPr>
          <w:noProof/>
        </w:rPr>
        <w:t>4</w:t>
      </w:r>
      <w:r>
        <w:fldChar w:fldCharType="end"/>
      </w:r>
      <w:bookmarkEnd w:id="10"/>
      <w:r>
        <w:t xml:space="preserve"> </w:t>
      </w:r>
      <w:r w:rsidRPr="00D02887">
        <w:t xml:space="preserve">For a NB-IOT SNR of </w:t>
      </w:r>
      <w:r>
        <w:t>1</w:t>
      </w:r>
      <w:r w:rsidR="001144E7">
        <w:t>5 dB</w:t>
      </w:r>
      <w:r w:rsidRPr="00D02887">
        <w:t xml:space="preserve"> </w:t>
      </w:r>
      <w:r w:rsidR="00C54F0E">
        <w:t>and</w:t>
      </w:r>
      <w:r w:rsidRPr="00D02887">
        <w:t xml:space="preserve"> </w:t>
      </w:r>
      <w:proofErr w:type="spellStart"/>
      <w:r w:rsidRPr="00D02887">
        <w:t>inband</w:t>
      </w:r>
      <w:proofErr w:type="spellEnd"/>
      <w:r w:rsidRPr="00D02887">
        <w:t xml:space="preserve"> deployment</w:t>
      </w:r>
      <w:r w:rsidR="00C54F0E">
        <w:t>, 15 kHz subcarrier spacing with ECP as well as 3.75 kHz subcarrier spacing degrades</w:t>
      </w:r>
      <w:r w:rsidRPr="00D02887">
        <w:t xml:space="preserve"> LTE PUSCH performance</w:t>
      </w:r>
      <w:r w:rsidR="00C54F0E">
        <w:t xml:space="preserve"> by </w:t>
      </w:r>
      <w:r w:rsidR="001038E3">
        <w:t>~1</w:t>
      </w:r>
      <w:r w:rsidR="00C54F0E">
        <w:t xml:space="preserve"> </w:t>
      </w:r>
      <w:proofErr w:type="spellStart"/>
      <w:r w:rsidR="00C54F0E">
        <w:t>dB</w:t>
      </w:r>
      <w:r w:rsidRPr="00D02887">
        <w:t>.</w:t>
      </w:r>
      <w:proofErr w:type="spellEnd"/>
    </w:p>
    <w:p w14:paraId="5140CDDF" w14:textId="77777777" w:rsidR="00485A68" w:rsidRDefault="00485A68" w:rsidP="00485A68">
      <w:pPr>
        <w:rPr>
          <w:lang w:val="en-US"/>
        </w:rPr>
      </w:pPr>
    </w:p>
    <w:p w14:paraId="3E26CD5D" w14:textId="43D51044" w:rsidR="00485A68" w:rsidRPr="00485A68" w:rsidRDefault="00485A68" w:rsidP="00485A68">
      <w:pPr>
        <w:pStyle w:val="ListParagraph"/>
        <w:numPr>
          <w:ilvl w:val="0"/>
          <w:numId w:val="47"/>
        </w:numPr>
        <w:ind w:left="1418" w:hanging="1418"/>
        <w:rPr>
          <w:b/>
          <w:lang w:val="en-US"/>
        </w:rPr>
      </w:pPr>
      <w:bookmarkStart w:id="11" w:name="_Ref438462444"/>
      <w:r>
        <w:rPr>
          <w:b/>
          <w:lang w:val="en-US"/>
        </w:rPr>
        <w:t xml:space="preserve">For high NB-IOT SNR levels (e.g. 15 dB) and </w:t>
      </w:r>
      <w:proofErr w:type="spellStart"/>
      <w:r>
        <w:rPr>
          <w:b/>
          <w:lang w:val="en-US"/>
        </w:rPr>
        <w:t>inband</w:t>
      </w:r>
      <w:proofErr w:type="spellEnd"/>
      <w:r>
        <w:rPr>
          <w:b/>
          <w:lang w:val="en-US"/>
        </w:rPr>
        <w:t xml:space="preserve"> deployment, 15 kHz subcarrier spacing with normal CP has significantly smaller impact on LTE compared to </w:t>
      </w:r>
      <w:r w:rsidR="00514DB0">
        <w:rPr>
          <w:b/>
          <w:lang w:val="en-US"/>
        </w:rPr>
        <w:t xml:space="preserve">either 15 kHz subcarrier spacing with </w:t>
      </w:r>
      <w:r>
        <w:rPr>
          <w:b/>
          <w:lang w:val="en-US"/>
        </w:rPr>
        <w:t xml:space="preserve">ECP </w:t>
      </w:r>
      <w:r w:rsidR="00514DB0">
        <w:rPr>
          <w:b/>
          <w:lang w:val="en-US"/>
        </w:rPr>
        <w:t>or</w:t>
      </w:r>
      <w:r>
        <w:rPr>
          <w:b/>
          <w:lang w:val="en-US"/>
        </w:rPr>
        <w:t xml:space="preserve"> 3.75 kHz subcarrier spacing.</w:t>
      </w:r>
      <w:bookmarkEnd w:id="11"/>
    </w:p>
    <w:bookmarkEnd w:id="1"/>
    <w:p w14:paraId="3CEA17EF" w14:textId="40119FFB" w:rsidR="00D70CFF" w:rsidRDefault="00D70CFF" w:rsidP="00D70CFF">
      <w:pPr>
        <w:pStyle w:val="Heading1"/>
        <w:rPr>
          <w:lang w:val="en-US"/>
        </w:rPr>
      </w:pPr>
      <w:r>
        <w:rPr>
          <w:lang w:val="en-US"/>
        </w:rPr>
        <w:t>Conclusion</w:t>
      </w:r>
      <w:r w:rsidR="00475B8B">
        <w:rPr>
          <w:lang w:val="en-US"/>
        </w:rPr>
        <w:t>s</w:t>
      </w:r>
    </w:p>
    <w:p w14:paraId="3C3360D7" w14:textId="7F5A4673" w:rsidR="00D70CFF" w:rsidRDefault="00E928F6" w:rsidP="00D70CFF">
      <w:pPr>
        <w:rPr>
          <w:lang w:val="en-US"/>
        </w:rPr>
      </w:pPr>
      <w:r>
        <w:rPr>
          <w:lang w:val="en-US"/>
        </w:rPr>
        <w:t>From the results in previous sections, we observe:</w:t>
      </w:r>
    </w:p>
    <w:p w14:paraId="6101CC8A" w14:textId="27CF59A7" w:rsidR="00E928F6" w:rsidRDefault="00E928F6" w:rsidP="00E928F6">
      <w:pPr>
        <w:ind w:left="1440" w:hanging="1440"/>
        <w:rPr>
          <w:b/>
          <w:lang w:val="en-US"/>
        </w:rPr>
      </w:pPr>
      <w:r w:rsidRPr="00E928F6">
        <w:rPr>
          <w:b/>
          <w:lang w:val="en-US"/>
        </w:rPr>
        <w:fldChar w:fldCharType="begin"/>
      </w:r>
      <w:r w:rsidRPr="00E928F6">
        <w:rPr>
          <w:b/>
          <w:lang w:val="en-US"/>
        </w:rPr>
        <w:instrText xml:space="preserve"> REF _Ref438199212 \w \h </w:instrText>
      </w:r>
      <w:r>
        <w:rPr>
          <w:b/>
          <w:lang w:val="en-US"/>
        </w:rPr>
        <w:instrText xml:space="preserve"> \* MERGEFORMAT </w:instrText>
      </w:r>
      <w:r w:rsidRPr="00E928F6">
        <w:rPr>
          <w:b/>
          <w:lang w:val="en-US"/>
        </w:rPr>
      </w:r>
      <w:r w:rsidRPr="00E928F6">
        <w:rPr>
          <w:b/>
          <w:lang w:val="en-US"/>
        </w:rPr>
        <w:fldChar w:fldCharType="separate"/>
      </w:r>
      <w:r w:rsidR="00F76267">
        <w:rPr>
          <w:b/>
          <w:lang w:val="en-US"/>
        </w:rPr>
        <w:t>Observation 1</w:t>
      </w:r>
      <w:r w:rsidRPr="00E928F6">
        <w:rPr>
          <w:b/>
          <w:lang w:val="en-US"/>
        </w:rPr>
        <w:fldChar w:fldCharType="end"/>
      </w:r>
      <w:r w:rsidRPr="00E928F6">
        <w:rPr>
          <w:b/>
          <w:lang w:val="en-US"/>
        </w:rPr>
        <w:tab/>
      </w:r>
      <w:r w:rsidRPr="00E928F6">
        <w:rPr>
          <w:b/>
          <w:lang w:val="en-US"/>
        </w:rPr>
        <w:fldChar w:fldCharType="begin"/>
      </w:r>
      <w:r w:rsidRPr="00E928F6">
        <w:rPr>
          <w:b/>
          <w:lang w:val="en-US"/>
        </w:rPr>
        <w:instrText xml:space="preserve"> REF _Ref438199212 \h </w:instrText>
      </w:r>
      <w:r>
        <w:rPr>
          <w:b/>
          <w:lang w:val="en-US"/>
        </w:rPr>
        <w:instrText xml:space="preserve"> \* MERGEFORMAT </w:instrText>
      </w:r>
      <w:r w:rsidRPr="00E928F6">
        <w:rPr>
          <w:b/>
          <w:lang w:val="en-US"/>
        </w:rPr>
      </w:r>
      <w:r w:rsidRPr="00E928F6">
        <w:rPr>
          <w:b/>
          <w:lang w:val="en-US"/>
        </w:rPr>
        <w:fldChar w:fldCharType="separate"/>
      </w:r>
      <w:r w:rsidR="00F76267">
        <w:rPr>
          <w:b/>
          <w:lang w:val="en-US"/>
        </w:rPr>
        <w:t xml:space="preserve">For normal NB-IOT SNR levels (e.g. 5 dB) and </w:t>
      </w:r>
      <w:proofErr w:type="spellStart"/>
      <w:r w:rsidR="00F76267">
        <w:rPr>
          <w:b/>
          <w:lang w:val="en-US"/>
        </w:rPr>
        <w:t>inband</w:t>
      </w:r>
      <w:proofErr w:type="spellEnd"/>
      <w:r w:rsidR="00F76267">
        <w:rPr>
          <w:b/>
          <w:lang w:val="en-US"/>
        </w:rPr>
        <w:t xml:space="preserve"> deployment, the three considered UL NB-IOT transmission schemes have negligible impact on LTE PUSCH.</w:t>
      </w:r>
      <w:r w:rsidRPr="00E928F6">
        <w:rPr>
          <w:b/>
          <w:lang w:val="en-US"/>
        </w:rPr>
        <w:fldChar w:fldCharType="end"/>
      </w:r>
    </w:p>
    <w:p w14:paraId="7C506113" w14:textId="77777777" w:rsidR="005409DF" w:rsidRDefault="005409DF" w:rsidP="005409DF">
      <w:pPr>
        <w:ind w:left="1440" w:hanging="1440"/>
        <w:rPr>
          <w:b/>
          <w:lang w:val="en-US"/>
        </w:rPr>
      </w:pPr>
      <w:r>
        <w:rPr>
          <w:b/>
          <w:lang w:val="en-US"/>
        </w:rPr>
        <w:fldChar w:fldCharType="begin"/>
      </w:r>
      <w:r>
        <w:rPr>
          <w:b/>
          <w:lang w:val="en-US"/>
        </w:rPr>
        <w:instrText xml:space="preserve"> REF _Ref438199227 \w \h </w:instrText>
      </w:r>
      <w:r>
        <w:rPr>
          <w:b/>
          <w:lang w:val="en-US"/>
        </w:rPr>
      </w:r>
      <w:r>
        <w:rPr>
          <w:b/>
          <w:lang w:val="en-US"/>
        </w:rPr>
        <w:fldChar w:fldCharType="separate"/>
      </w:r>
      <w:r w:rsidR="00F76267">
        <w:rPr>
          <w:b/>
          <w:lang w:val="en-US"/>
        </w:rPr>
        <w:t>Observation 2</w:t>
      </w:r>
      <w:r>
        <w:rPr>
          <w:b/>
          <w:lang w:val="en-US"/>
        </w:rPr>
        <w:fldChar w:fldCharType="end"/>
      </w:r>
      <w:r>
        <w:rPr>
          <w:b/>
          <w:lang w:val="en-US"/>
        </w:rPr>
        <w:tab/>
      </w:r>
      <w:r>
        <w:rPr>
          <w:b/>
          <w:lang w:val="en-US"/>
        </w:rPr>
        <w:fldChar w:fldCharType="begin"/>
      </w:r>
      <w:r>
        <w:rPr>
          <w:b/>
          <w:lang w:val="en-US"/>
        </w:rPr>
        <w:instrText xml:space="preserve"> REF _Ref438199227 \h </w:instrText>
      </w:r>
      <w:r>
        <w:rPr>
          <w:b/>
          <w:lang w:val="en-US"/>
        </w:rPr>
      </w:r>
      <w:r>
        <w:rPr>
          <w:b/>
          <w:lang w:val="en-US"/>
        </w:rPr>
        <w:fldChar w:fldCharType="separate"/>
      </w:r>
      <w:r w:rsidR="00F76267">
        <w:rPr>
          <w:b/>
          <w:lang w:val="en-US"/>
        </w:rPr>
        <w:t xml:space="preserve">For normal NB-IOT SNR levels (e.g. 5 dB) and </w:t>
      </w:r>
      <w:proofErr w:type="spellStart"/>
      <w:r w:rsidR="00F76267">
        <w:rPr>
          <w:b/>
          <w:lang w:val="en-US"/>
        </w:rPr>
        <w:t>inband</w:t>
      </w:r>
      <w:proofErr w:type="spellEnd"/>
      <w:r w:rsidR="00F76267">
        <w:rPr>
          <w:b/>
          <w:lang w:val="en-US"/>
        </w:rPr>
        <w:t xml:space="preserve"> deployment, the three considered UL NB-IOT transmission schemes have negligible impact on LTE PUCCH</w:t>
      </w:r>
      <w:r w:rsidR="00F76267" w:rsidRPr="00303387">
        <w:rPr>
          <w:b/>
          <w:lang w:val="en-US"/>
        </w:rPr>
        <w:t>.</w:t>
      </w:r>
      <w:r>
        <w:rPr>
          <w:b/>
          <w:lang w:val="en-US"/>
        </w:rPr>
        <w:fldChar w:fldCharType="end"/>
      </w:r>
    </w:p>
    <w:p w14:paraId="25803532" w14:textId="060D350E" w:rsidR="00E928F6" w:rsidRDefault="005409DF" w:rsidP="005409DF">
      <w:pPr>
        <w:ind w:left="1440" w:hanging="1440"/>
        <w:rPr>
          <w:b/>
          <w:lang w:val="en-US"/>
        </w:rPr>
      </w:pPr>
      <w:r>
        <w:rPr>
          <w:b/>
          <w:lang w:val="en-US"/>
        </w:rPr>
        <w:fldChar w:fldCharType="begin"/>
      </w:r>
      <w:r>
        <w:rPr>
          <w:b/>
          <w:lang w:val="en-US"/>
        </w:rPr>
        <w:instrText xml:space="preserve"> REF _Ref438462470 \w \h </w:instrText>
      </w:r>
      <w:r>
        <w:rPr>
          <w:b/>
          <w:lang w:val="en-US"/>
        </w:rPr>
      </w:r>
      <w:r>
        <w:rPr>
          <w:b/>
          <w:lang w:val="en-US"/>
        </w:rPr>
        <w:fldChar w:fldCharType="separate"/>
      </w:r>
      <w:r w:rsidR="00F76267">
        <w:rPr>
          <w:b/>
          <w:lang w:val="en-US"/>
        </w:rPr>
        <w:t>Observation 3</w:t>
      </w:r>
      <w:r>
        <w:rPr>
          <w:b/>
          <w:lang w:val="en-US"/>
        </w:rPr>
        <w:fldChar w:fldCharType="end"/>
      </w:r>
      <w:r>
        <w:rPr>
          <w:b/>
          <w:lang w:val="en-US"/>
        </w:rPr>
        <w:tab/>
      </w:r>
      <w:r>
        <w:rPr>
          <w:b/>
          <w:lang w:val="en-US"/>
        </w:rPr>
        <w:fldChar w:fldCharType="begin"/>
      </w:r>
      <w:r>
        <w:rPr>
          <w:b/>
          <w:lang w:val="en-US"/>
        </w:rPr>
        <w:instrText xml:space="preserve"> REF _Ref438462470 \h </w:instrText>
      </w:r>
      <w:r>
        <w:rPr>
          <w:b/>
          <w:lang w:val="en-US"/>
        </w:rPr>
      </w:r>
      <w:r>
        <w:rPr>
          <w:b/>
          <w:lang w:val="en-US"/>
        </w:rPr>
        <w:fldChar w:fldCharType="separate"/>
      </w:r>
      <w:r w:rsidR="00F76267">
        <w:rPr>
          <w:b/>
          <w:lang w:val="en-US"/>
        </w:rPr>
        <w:t xml:space="preserve">For normal NB-IOT SNR levels (e.g. 5 dB) and </w:t>
      </w:r>
      <w:proofErr w:type="spellStart"/>
      <w:r w:rsidR="00F76267">
        <w:rPr>
          <w:b/>
          <w:lang w:val="en-US"/>
        </w:rPr>
        <w:t>guardband</w:t>
      </w:r>
      <w:proofErr w:type="spellEnd"/>
      <w:r w:rsidR="00F76267">
        <w:rPr>
          <w:b/>
          <w:lang w:val="en-US"/>
        </w:rPr>
        <w:t xml:space="preserve"> deployment, the three considered UL NB-IOT transmission schemes have negligible impact on LTE PUSCH.</w:t>
      </w:r>
      <w:r>
        <w:rPr>
          <w:b/>
          <w:lang w:val="en-US"/>
        </w:rPr>
        <w:fldChar w:fldCharType="end"/>
      </w:r>
      <w:r>
        <w:rPr>
          <w:b/>
          <w:lang w:val="en-US"/>
        </w:rPr>
        <w:t xml:space="preserve"> </w:t>
      </w:r>
    </w:p>
    <w:p w14:paraId="2C1BADDF" w14:textId="3F1D0CD1" w:rsidR="00D70CFF" w:rsidRPr="00E928F6" w:rsidRDefault="005409DF" w:rsidP="005409DF">
      <w:pPr>
        <w:ind w:left="1440" w:hanging="1440"/>
        <w:rPr>
          <w:b/>
          <w:lang w:val="en-US"/>
        </w:rPr>
      </w:pPr>
      <w:r>
        <w:rPr>
          <w:b/>
          <w:lang w:val="en-US"/>
        </w:rPr>
        <w:fldChar w:fldCharType="begin"/>
      </w:r>
      <w:r>
        <w:rPr>
          <w:b/>
          <w:lang w:val="en-US"/>
        </w:rPr>
        <w:instrText xml:space="preserve"> REF _Ref438462444 \w \h </w:instrText>
      </w:r>
      <w:r>
        <w:rPr>
          <w:b/>
          <w:lang w:val="en-US"/>
        </w:rPr>
      </w:r>
      <w:r>
        <w:rPr>
          <w:b/>
          <w:lang w:val="en-US"/>
        </w:rPr>
        <w:fldChar w:fldCharType="separate"/>
      </w:r>
      <w:r w:rsidR="00F76267">
        <w:rPr>
          <w:b/>
          <w:lang w:val="en-US"/>
        </w:rPr>
        <w:t>Observation 4</w:t>
      </w:r>
      <w:r>
        <w:rPr>
          <w:b/>
          <w:lang w:val="en-US"/>
        </w:rPr>
        <w:fldChar w:fldCharType="end"/>
      </w:r>
      <w:r>
        <w:rPr>
          <w:b/>
          <w:lang w:val="en-US"/>
        </w:rPr>
        <w:tab/>
      </w:r>
      <w:r>
        <w:rPr>
          <w:b/>
          <w:lang w:val="en-US"/>
        </w:rPr>
        <w:fldChar w:fldCharType="begin"/>
      </w:r>
      <w:r>
        <w:rPr>
          <w:b/>
          <w:lang w:val="en-US"/>
        </w:rPr>
        <w:instrText xml:space="preserve"> REF _Ref438462444 \h </w:instrText>
      </w:r>
      <w:r>
        <w:rPr>
          <w:b/>
          <w:lang w:val="en-US"/>
        </w:rPr>
      </w:r>
      <w:r>
        <w:rPr>
          <w:b/>
          <w:lang w:val="en-US"/>
        </w:rPr>
        <w:fldChar w:fldCharType="separate"/>
      </w:r>
      <w:r w:rsidR="00F76267">
        <w:rPr>
          <w:b/>
          <w:lang w:val="en-US"/>
        </w:rPr>
        <w:t xml:space="preserve">For high NB-IOT SNR levels (e.g. 15 dB) and </w:t>
      </w:r>
      <w:proofErr w:type="spellStart"/>
      <w:r w:rsidR="00F76267">
        <w:rPr>
          <w:b/>
          <w:lang w:val="en-US"/>
        </w:rPr>
        <w:t>inband</w:t>
      </w:r>
      <w:proofErr w:type="spellEnd"/>
      <w:r w:rsidR="00F76267">
        <w:rPr>
          <w:b/>
          <w:lang w:val="en-US"/>
        </w:rPr>
        <w:t xml:space="preserve"> deployment, 15 kHz subcarrier spacing with normal CP has significantly smaller impact on LTE compared to either 15 kHz subcarrier spacing with ECP or 3.75 kHz subcarrier spacing.</w:t>
      </w:r>
      <w:r>
        <w:rPr>
          <w:b/>
          <w:lang w:val="en-US"/>
        </w:rPr>
        <w:fldChar w:fldCharType="end"/>
      </w:r>
    </w:p>
    <w:p w14:paraId="04796783" w14:textId="6E094AC6" w:rsidR="003E2CDD" w:rsidRDefault="003E2CDD" w:rsidP="001A4E75">
      <w:pPr>
        <w:pStyle w:val="BodyText"/>
        <w:rPr>
          <w:lang w:val="en-US"/>
        </w:rPr>
      </w:pP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2" w:name="_Ref397674406"/>
      <w:bookmarkStart w:id="13" w:name="_Ref403069021"/>
      <w:bookmarkStart w:id="14"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2"/>
      <w:bookmarkEnd w:id="13"/>
      <w:r>
        <w:rPr>
          <w:lang w:val="en-US"/>
        </w:rPr>
        <w:t>, Phoenix, AZ, USA</w:t>
      </w:r>
      <w:r w:rsidR="009144F7">
        <w:rPr>
          <w:lang w:val="en-US"/>
        </w:rPr>
        <w:t>.</w:t>
      </w:r>
      <w:bookmarkStart w:id="15" w:name="_GoBack"/>
      <w:bookmarkEnd w:id="15"/>
    </w:p>
    <w:p w14:paraId="15946700" w14:textId="5FDDA412" w:rsidR="007152F1" w:rsidRPr="007152F1" w:rsidRDefault="007152F1" w:rsidP="007152F1">
      <w:pPr>
        <w:pStyle w:val="Reference"/>
        <w:rPr>
          <w:lang w:val="en-US"/>
        </w:rPr>
      </w:pPr>
      <w:bookmarkStart w:id="16" w:name="_Ref437609883"/>
      <w:r>
        <w:rPr>
          <w:lang w:val="en-US"/>
        </w:rPr>
        <w:lastRenderedPageBreak/>
        <w:t>“</w:t>
      </w:r>
      <w:r w:rsidRPr="00582803">
        <w:rPr>
          <w:lang w:val="en-US"/>
        </w:rPr>
        <w:t>RAN1 Chairman’s Notes</w:t>
      </w:r>
      <w:r>
        <w:rPr>
          <w:lang w:val="en-US"/>
        </w:rPr>
        <w:t>”,</w:t>
      </w:r>
      <w:r w:rsidRPr="00582803">
        <w:t xml:space="preserve"> </w:t>
      </w:r>
      <w:r w:rsidRPr="00582803">
        <w:rPr>
          <w:lang w:val="en-US"/>
        </w:rPr>
        <w:t>RAN WG1 Meeting #83</w:t>
      </w:r>
      <w:r>
        <w:rPr>
          <w:lang w:val="en-US"/>
        </w:rPr>
        <w:t xml:space="preserve">, Nov. 2015, </w:t>
      </w:r>
      <w:r w:rsidRPr="00582803">
        <w:rPr>
          <w:lang w:val="en-US"/>
        </w:rPr>
        <w:t>Anaheim, USA 2015</w:t>
      </w:r>
      <w:bookmarkEnd w:id="16"/>
    </w:p>
    <w:p w14:paraId="347F37E0" w14:textId="033921E2" w:rsidR="00F725E2" w:rsidRDefault="00FC75A7" w:rsidP="009C6A73">
      <w:pPr>
        <w:pStyle w:val="Reference"/>
        <w:rPr>
          <w:lang w:val="en-US"/>
        </w:rPr>
      </w:pPr>
      <w:bookmarkStart w:id="17" w:name="_Ref434576561"/>
      <w:r>
        <w:rPr>
          <w:lang w:val="en-US"/>
        </w:rPr>
        <w:t>R1- 156384, “</w:t>
      </w:r>
      <w:r w:rsidRPr="00FC75A7">
        <w:rPr>
          <w:lang w:val="en-US"/>
        </w:rPr>
        <w:t xml:space="preserve">Link-level evaluation assumptions for </w:t>
      </w:r>
      <w:r>
        <w:rPr>
          <w:lang w:val="en-US"/>
        </w:rPr>
        <w:t>in</w:t>
      </w:r>
      <w:r w:rsidRPr="00FC75A7">
        <w:rPr>
          <w:lang w:val="en-US"/>
        </w:rPr>
        <w:t>-band deployment</w:t>
      </w:r>
      <w:r>
        <w:rPr>
          <w:lang w:val="en-US"/>
        </w:rPr>
        <w:t xml:space="preserve">”, Huawei, HiSilicon, </w:t>
      </w:r>
      <w:r w:rsidRPr="00FC75A7">
        <w:rPr>
          <w:lang w:val="en-US"/>
        </w:rPr>
        <w:t>October 2015</w:t>
      </w:r>
      <w:r>
        <w:rPr>
          <w:lang w:val="en-US"/>
        </w:rPr>
        <w:t>, Malmo, Sweden.</w:t>
      </w:r>
      <w:bookmarkEnd w:id="14"/>
      <w:bookmarkEnd w:id="17"/>
    </w:p>
    <w:p w14:paraId="21B47B8A" w14:textId="38ABF09C" w:rsidR="002640F8" w:rsidRPr="002640F8" w:rsidRDefault="002640F8" w:rsidP="002640F8">
      <w:pPr>
        <w:pStyle w:val="Reference"/>
        <w:rPr>
          <w:lang w:val="en-US"/>
        </w:rPr>
      </w:pPr>
      <w:bookmarkStart w:id="18" w:name="_Ref434576563"/>
      <w:r w:rsidRPr="00FC75A7">
        <w:rPr>
          <w:lang w:val="en-US"/>
        </w:rPr>
        <w:t>R1-156383</w:t>
      </w:r>
      <w:r>
        <w:rPr>
          <w:lang w:val="en-US"/>
        </w:rPr>
        <w:t>, “</w:t>
      </w:r>
      <w:r w:rsidRPr="00FC75A7">
        <w:rPr>
          <w:lang w:val="en-US"/>
        </w:rPr>
        <w:t>Link-level evaluation assumptions for guard-band deployment</w:t>
      </w:r>
      <w:r>
        <w:rPr>
          <w:lang w:val="en-US"/>
        </w:rPr>
        <w:t xml:space="preserve">”, Huawei, HiSilicon, </w:t>
      </w:r>
      <w:r w:rsidRPr="00FC75A7">
        <w:rPr>
          <w:lang w:val="en-US"/>
        </w:rPr>
        <w:t>October 2015</w:t>
      </w:r>
      <w:r>
        <w:rPr>
          <w:lang w:val="en-US"/>
        </w:rPr>
        <w:t>, Malmo, Sweden.</w:t>
      </w:r>
      <w:bookmarkEnd w:id="18"/>
    </w:p>
    <w:sectPr w:rsidR="002640F8" w:rsidRPr="002640F8"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D542D" w14:textId="77777777" w:rsidR="002C4240" w:rsidRDefault="002C4240">
      <w:pPr>
        <w:spacing w:after="0"/>
      </w:pPr>
      <w:r>
        <w:separator/>
      </w:r>
    </w:p>
  </w:endnote>
  <w:endnote w:type="continuationSeparator" w:id="0">
    <w:p w14:paraId="25BBD4EE" w14:textId="77777777" w:rsidR="002C4240" w:rsidRDefault="002C4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4B5D8E">
      <w:rPr>
        <w:rStyle w:val="PageNumber"/>
      </w:rPr>
      <w:t>2</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5D8E">
      <w:rPr>
        <w:rStyle w:val="PageNumber"/>
      </w:rPr>
      <w:t>6</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4B5D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5D8E">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A8E8D" w14:textId="77777777" w:rsidR="002C4240" w:rsidRDefault="002C4240">
      <w:pPr>
        <w:spacing w:after="0"/>
      </w:pPr>
      <w:r>
        <w:separator/>
      </w:r>
    </w:p>
  </w:footnote>
  <w:footnote w:type="continuationSeparator" w:id="0">
    <w:p w14:paraId="6F29F832" w14:textId="77777777" w:rsidR="002C4240" w:rsidRDefault="002C42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7376F2D"/>
    <w:multiLevelType w:val="hybridMultilevel"/>
    <w:tmpl w:val="24F40272"/>
    <w:lvl w:ilvl="0" w:tplc="4FBC3B1A">
      <w:start w:val="1"/>
      <w:numFmt w:val="decimal"/>
      <w:lvlText w:val="Observ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2">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2F91423"/>
    <w:multiLevelType w:val="hybridMultilevel"/>
    <w:tmpl w:val="832C92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1113E9E"/>
    <w:multiLevelType w:val="singleLevel"/>
    <w:tmpl w:val="B4D4D9E8"/>
    <w:lvl w:ilvl="0">
      <w:start w:val="1"/>
      <w:numFmt w:val="decimal"/>
      <w:lvlText w:val="[%1]"/>
      <w:lvlJc w:val="left"/>
      <w:pPr>
        <w:tabs>
          <w:tab w:val="num" w:pos="360"/>
        </w:tabs>
        <w:ind w:left="360" w:hanging="360"/>
      </w:pPr>
    </w:lvl>
  </w:abstractNum>
  <w:abstractNum w:abstractNumId="15">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1440"/>
        </w:tabs>
        <w:ind w:left="1440" w:hanging="360"/>
      </w:pPr>
      <w:rPr>
        <w:rFonts w:ascii="Arial" w:hAnsi="Arial" w:hint="default"/>
      </w:rPr>
    </w:lvl>
    <w:lvl w:ilvl="2" w:tplc="90F8251E">
      <w:start w:val="1"/>
      <w:numFmt w:val="bullet"/>
      <w:lvlText w:val="•"/>
      <w:lvlJc w:val="left"/>
      <w:pPr>
        <w:tabs>
          <w:tab w:val="num" w:pos="2160"/>
        </w:tabs>
        <w:ind w:left="216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0056D2"/>
    <w:multiLevelType w:val="hybridMultilevel"/>
    <w:tmpl w:val="09C66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6">
    <w:nsid w:val="6D4113C3"/>
    <w:multiLevelType w:val="hybridMultilevel"/>
    <w:tmpl w:val="E5C40EF2"/>
    <w:lvl w:ilvl="0" w:tplc="0360D8C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5"/>
  </w:num>
  <w:num w:numId="2">
    <w:abstractNumId w:val="14"/>
  </w:num>
  <w:num w:numId="3">
    <w:abstractNumId w:val="15"/>
  </w:num>
  <w:num w:numId="4">
    <w:abstractNumId w:val="1"/>
  </w:num>
  <w:num w:numId="5">
    <w:abstractNumId w:val="33"/>
  </w:num>
  <w:num w:numId="6">
    <w:abstractNumId w:val="22"/>
  </w:num>
  <w:num w:numId="7">
    <w:abstractNumId w:val="7"/>
  </w:num>
  <w:num w:numId="8">
    <w:abstractNumId w:val="26"/>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6"/>
  </w:num>
  <w:num w:numId="20">
    <w:abstractNumId w:val="4"/>
  </w:num>
  <w:num w:numId="21">
    <w:abstractNumId w:val="23"/>
  </w:num>
  <w:num w:numId="22">
    <w:abstractNumId w:val="3"/>
  </w:num>
  <w:num w:numId="23">
    <w:abstractNumId w:val="31"/>
  </w:num>
  <w:num w:numId="24">
    <w:abstractNumId w:val="2"/>
  </w:num>
  <w:num w:numId="25">
    <w:abstractNumId w:val="17"/>
  </w:num>
  <w:num w:numId="26">
    <w:abstractNumId w:val="21"/>
  </w:num>
  <w:num w:numId="27">
    <w:abstractNumId w:val="5"/>
  </w:num>
  <w:num w:numId="28">
    <w:abstractNumId w:val="0"/>
  </w:num>
  <w:num w:numId="29">
    <w:abstractNumId w:val="18"/>
  </w:num>
  <w:num w:numId="30">
    <w:abstractNumId w:val="30"/>
  </w:num>
  <w:num w:numId="31">
    <w:abstractNumId w:val="26"/>
  </w:num>
  <w:num w:numId="32">
    <w:abstractNumId w:val="37"/>
  </w:num>
  <w:num w:numId="33">
    <w:abstractNumId w:val="11"/>
  </w:num>
  <w:num w:numId="34">
    <w:abstractNumId w:val="24"/>
  </w:num>
  <w:num w:numId="35">
    <w:abstractNumId w:val="35"/>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num>
  <w:num w:numId="39">
    <w:abstractNumId w:val="28"/>
  </w:num>
  <w:num w:numId="40">
    <w:abstractNumId w:val="32"/>
  </w:num>
  <w:num w:numId="41">
    <w:abstractNumId w:val="34"/>
  </w:num>
  <w:num w:numId="42">
    <w:abstractNumId w:val="26"/>
    <w:lvlOverride w:ilvl="0">
      <w:startOverride w:val="12"/>
    </w:lvlOverride>
  </w:num>
  <w:num w:numId="43">
    <w:abstractNumId w:val="19"/>
  </w:num>
  <w:num w:numId="44">
    <w:abstractNumId w:val="12"/>
  </w:num>
  <w:num w:numId="45">
    <w:abstractNumId w:val="20"/>
  </w:num>
  <w:num w:numId="46">
    <w:abstractNumId w:val="13"/>
  </w:num>
  <w:num w:numId="47">
    <w:abstractNumId w:val="10"/>
  </w:num>
  <w:num w:numId="48">
    <w:abstractNumId w:val="27"/>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0F4C"/>
    <w:rsid w:val="0001270B"/>
    <w:rsid w:val="00013F4F"/>
    <w:rsid w:val="00017366"/>
    <w:rsid w:val="000237B9"/>
    <w:rsid w:val="0002572A"/>
    <w:rsid w:val="0002675F"/>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013"/>
    <w:rsid w:val="0005434F"/>
    <w:rsid w:val="0005445E"/>
    <w:rsid w:val="00055864"/>
    <w:rsid w:val="00055E6D"/>
    <w:rsid w:val="00056096"/>
    <w:rsid w:val="0005712B"/>
    <w:rsid w:val="00057B28"/>
    <w:rsid w:val="000615F7"/>
    <w:rsid w:val="00061919"/>
    <w:rsid w:val="000661F7"/>
    <w:rsid w:val="000670B7"/>
    <w:rsid w:val="00067182"/>
    <w:rsid w:val="000677A0"/>
    <w:rsid w:val="000678C9"/>
    <w:rsid w:val="000700A9"/>
    <w:rsid w:val="0007045A"/>
    <w:rsid w:val="00071EB5"/>
    <w:rsid w:val="000721FC"/>
    <w:rsid w:val="00072382"/>
    <w:rsid w:val="00081297"/>
    <w:rsid w:val="000813FD"/>
    <w:rsid w:val="00081688"/>
    <w:rsid w:val="000857F2"/>
    <w:rsid w:val="00087350"/>
    <w:rsid w:val="0008796B"/>
    <w:rsid w:val="00090E5E"/>
    <w:rsid w:val="00091A7F"/>
    <w:rsid w:val="000922FF"/>
    <w:rsid w:val="00093C23"/>
    <w:rsid w:val="00093FC2"/>
    <w:rsid w:val="00096C16"/>
    <w:rsid w:val="000A207F"/>
    <w:rsid w:val="000A29C6"/>
    <w:rsid w:val="000A4FF9"/>
    <w:rsid w:val="000A6510"/>
    <w:rsid w:val="000B1E44"/>
    <w:rsid w:val="000B2C9C"/>
    <w:rsid w:val="000B31DD"/>
    <w:rsid w:val="000B3334"/>
    <w:rsid w:val="000B3427"/>
    <w:rsid w:val="000B397E"/>
    <w:rsid w:val="000B3D9B"/>
    <w:rsid w:val="000B4484"/>
    <w:rsid w:val="000B462B"/>
    <w:rsid w:val="000B484A"/>
    <w:rsid w:val="000B4AEE"/>
    <w:rsid w:val="000B5B8E"/>
    <w:rsid w:val="000B7B3F"/>
    <w:rsid w:val="000C0D36"/>
    <w:rsid w:val="000C18F3"/>
    <w:rsid w:val="000C2715"/>
    <w:rsid w:val="000C3C4D"/>
    <w:rsid w:val="000C7570"/>
    <w:rsid w:val="000C7F06"/>
    <w:rsid w:val="000D0222"/>
    <w:rsid w:val="000D036A"/>
    <w:rsid w:val="000D451A"/>
    <w:rsid w:val="000D4E16"/>
    <w:rsid w:val="000D71F5"/>
    <w:rsid w:val="000E114A"/>
    <w:rsid w:val="000E214E"/>
    <w:rsid w:val="000E2D68"/>
    <w:rsid w:val="000E2DED"/>
    <w:rsid w:val="000E3586"/>
    <w:rsid w:val="000E4E27"/>
    <w:rsid w:val="000E63C3"/>
    <w:rsid w:val="000E71AB"/>
    <w:rsid w:val="000E7F68"/>
    <w:rsid w:val="000F193F"/>
    <w:rsid w:val="000F2D08"/>
    <w:rsid w:val="000F2F61"/>
    <w:rsid w:val="000F443D"/>
    <w:rsid w:val="000F5A66"/>
    <w:rsid w:val="000F623B"/>
    <w:rsid w:val="000F6CDC"/>
    <w:rsid w:val="00100F09"/>
    <w:rsid w:val="00101458"/>
    <w:rsid w:val="001015B9"/>
    <w:rsid w:val="00101845"/>
    <w:rsid w:val="001033FB"/>
    <w:rsid w:val="001038E3"/>
    <w:rsid w:val="00104263"/>
    <w:rsid w:val="0010487F"/>
    <w:rsid w:val="00104E0D"/>
    <w:rsid w:val="00105C00"/>
    <w:rsid w:val="00110906"/>
    <w:rsid w:val="00110F2A"/>
    <w:rsid w:val="00111F79"/>
    <w:rsid w:val="00112867"/>
    <w:rsid w:val="00114462"/>
    <w:rsid w:val="001144E7"/>
    <w:rsid w:val="00114D8B"/>
    <w:rsid w:val="001203AA"/>
    <w:rsid w:val="00120E41"/>
    <w:rsid w:val="00121E8A"/>
    <w:rsid w:val="00125368"/>
    <w:rsid w:val="001254C4"/>
    <w:rsid w:val="00125AA0"/>
    <w:rsid w:val="00130ED8"/>
    <w:rsid w:val="001311CC"/>
    <w:rsid w:val="001354B2"/>
    <w:rsid w:val="00140C24"/>
    <w:rsid w:val="00142231"/>
    <w:rsid w:val="00142630"/>
    <w:rsid w:val="001426F5"/>
    <w:rsid w:val="00142768"/>
    <w:rsid w:val="0014633A"/>
    <w:rsid w:val="001466A9"/>
    <w:rsid w:val="00146EC4"/>
    <w:rsid w:val="00147E0D"/>
    <w:rsid w:val="00151C32"/>
    <w:rsid w:val="00152595"/>
    <w:rsid w:val="001547A1"/>
    <w:rsid w:val="0016019B"/>
    <w:rsid w:val="00160AA0"/>
    <w:rsid w:val="0016108C"/>
    <w:rsid w:val="00161763"/>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310F"/>
    <w:rsid w:val="00194A90"/>
    <w:rsid w:val="00196FBC"/>
    <w:rsid w:val="001A0E97"/>
    <w:rsid w:val="001A3ADC"/>
    <w:rsid w:val="001A4E75"/>
    <w:rsid w:val="001A652E"/>
    <w:rsid w:val="001B0907"/>
    <w:rsid w:val="001B0EA1"/>
    <w:rsid w:val="001B3005"/>
    <w:rsid w:val="001B3616"/>
    <w:rsid w:val="001B5230"/>
    <w:rsid w:val="001B578B"/>
    <w:rsid w:val="001B58B6"/>
    <w:rsid w:val="001C0F89"/>
    <w:rsid w:val="001C12B7"/>
    <w:rsid w:val="001C1A66"/>
    <w:rsid w:val="001C384C"/>
    <w:rsid w:val="001C51B5"/>
    <w:rsid w:val="001C59CE"/>
    <w:rsid w:val="001C6000"/>
    <w:rsid w:val="001C6007"/>
    <w:rsid w:val="001C6B6B"/>
    <w:rsid w:val="001C72C8"/>
    <w:rsid w:val="001D06AC"/>
    <w:rsid w:val="001D07A5"/>
    <w:rsid w:val="001D253C"/>
    <w:rsid w:val="001D48B8"/>
    <w:rsid w:val="001D589A"/>
    <w:rsid w:val="001D7C53"/>
    <w:rsid w:val="001E1C9C"/>
    <w:rsid w:val="001E213E"/>
    <w:rsid w:val="001E272E"/>
    <w:rsid w:val="001E52DE"/>
    <w:rsid w:val="001E582A"/>
    <w:rsid w:val="001E7AF7"/>
    <w:rsid w:val="001F0CE9"/>
    <w:rsid w:val="001F3714"/>
    <w:rsid w:val="001F39B2"/>
    <w:rsid w:val="001F4B7F"/>
    <w:rsid w:val="001F60F1"/>
    <w:rsid w:val="001F6E69"/>
    <w:rsid w:val="002067F3"/>
    <w:rsid w:val="00206BFE"/>
    <w:rsid w:val="002150C4"/>
    <w:rsid w:val="0021523D"/>
    <w:rsid w:val="00216D19"/>
    <w:rsid w:val="00220E5C"/>
    <w:rsid w:val="00224F96"/>
    <w:rsid w:val="00225036"/>
    <w:rsid w:val="00227291"/>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0F8"/>
    <w:rsid w:val="00264921"/>
    <w:rsid w:val="00265439"/>
    <w:rsid w:val="00267AC3"/>
    <w:rsid w:val="00270E2A"/>
    <w:rsid w:val="0027285A"/>
    <w:rsid w:val="00274858"/>
    <w:rsid w:val="0027629B"/>
    <w:rsid w:val="002824CF"/>
    <w:rsid w:val="00282C6D"/>
    <w:rsid w:val="0028474C"/>
    <w:rsid w:val="00285772"/>
    <w:rsid w:val="00287364"/>
    <w:rsid w:val="00287D33"/>
    <w:rsid w:val="00291AA4"/>
    <w:rsid w:val="00291F1D"/>
    <w:rsid w:val="00292A88"/>
    <w:rsid w:val="00293892"/>
    <w:rsid w:val="002951FC"/>
    <w:rsid w:val="002A2386"/>
    <w:rsid w:val="002A5DC6"/>
    <w:rsid w:val="002B07C7"/>
    <w:rsid w:val="002B11BE"/>
    <w:rsid w:val="002B368A"/>
    <w:rsid w:val="002B4986"/>
    <w:rsid w:val="002B5026"/>
    <w:rsid w:val="002C3811"/>
    <w:rsid w:val="002C39D5"/>
    <w:rsid w:val="002C4240"/>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E68CD"/>
    <w:rsid w:val="002E7EAE"/>
    <w:rsid w:val="002F03CE"/>
    <w:rsid w:val="002F2762"/>
    <w:rsid w:val="002F3FAE"/>
    <w:rsid w:val="002F6BC2"/>
    <w:rsid w:val="002F7983"/>
    <w:rsid w:val="0030085B"/>
    <w:rsid w:val="003013DF"/>
    <w:rsid w:val="00302EE8"/>
    <w:rsid w:val="00303344"/>
    <w:rsid w:val="00303387"/>
    <w:rsid w:val="0030444C"/>
    <w:rsid w:val="00304865"/>
    <w:rsid w:val="00312121"/>
    <w:rsid w:val="0031270F"/>
    <w:rsid w:val="00312CFF"/>
    <w:rsid w:val="003140E8"/>
    <w:rsid w:val="003149C4"/>
    <w:rsid w:val="00315F3D"/>
    <w:rsid w:val="00320D05"/>
    <w:rsid w:val="00322939"/>
    <w:rsid w:val="00322C8D"/>
    <w:rsid w:val="00323F7A"/>
    <w:rsid w:val="00324758"/>
    <w:rsid w:val="00327656"/>
    <w:rsid w:val="00327C6A"/>
    <w:rsid w:val="003305C3"/>
    <w:rsid w:val="00332C78"/>
    <w:rsid w:val="00335026"/>
    <w:rsid w:val="00336539"/>
    <w:rsid w:val="003379B0"/>
    <w:rsid w:val="00346F96"/>
    <w:rsid w:val="00347225"/>
    <w:rsid w:val="0035201D"/>
    <w:rsid w:val="003526DC"/>
    <w:rsid w:val="0035309F"/>
    <w:rsid w:val="00353B36"/>
    <w:rsid w:val="00353DCF"/>
    <w:rsid w:val="00354E71"/>
    <w:rsid w:val="00355DC7"/>
    <w:rsid w:val="003578EB"/>
    <w:rsid w:val="00357C52"/>
    <w:rsid w:val="0036159C"/>
    <w:rsid w:val="003625B9"/>
    <w:rsid w:val="00362B1B"/>
    <w:rsid w:val="00363BD5"/>
    <w:rsid w:val="00364B40"/>
    <w:rsid w:val="00365315"/>
    <w:rsid w:val="00367CE8"/>
    <w:rsid w:val="003706A3"/>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4366"/>
    <w:rsid w:val="0039745E"/>
    <w:rsid w:val="00397E21"/>
    <w:rsid w:val="003A0C22"/>
    <w:rsid w:val="003A43DD"/>
    <w:rsid w:val="003A6896"/>
    <w:rsid w:val="003B236E"/>
    <w:rsid w:val="003B2F31"/>
    <w:rsid w:val="003B5666"/>
    <w:rsid w:val="003C28EC"/>
    <w:rsid w:val="003C72EE"/>
    <w:rsid w:val="003D10F0"/>
    <w:rsid w:val="003D15A1"/>
    <w:rsid w:val="003D273D"/>
    <w:rsid w:val="003D3EEA"/>
    <w:rsid w:val="003E2B02"/>
    <w:rsid w:val="003E2CDD"/>
    <w:rsid w:val="003E3C3F"/>
    <w:rsid w:val="003E54AE"/>
    <w:rsid w:val="003E624D"/>
    <w:rsid w:val="003E6309"/>
    <w:rsid w:val="003E70DE"/>
    <w:rsid w:val="003E7A09"/>
    <w:rsid w:val="003F039E"/>
    <w:rsid w:val="003F1E4A"/>
    <w:rsid w:val="003F20EB"/>
    <w:rsid w:val="003F2D08"/>
    <w:rsid w:val="003F2DD5"/>
    <w:rsid w:val="003F411D"/>
    <w:rsid w:val="003F430C"/>
    <w:rsid w:val="003F614C"/>
    <w:rsid w:val="003F6C3A"/>
    <w:rsid w:val="0040291E"/>
    <w:rsid w:val="00404BAC"/>
    <w:rsid w:val="00405F52"/>
    <w:rsid w:val="004060C5"/>
    <w:rsid w:val="004077BE"/>
    <w:rsid w:val="00407FA0"/>
    <w:rsid w:val="00411778"/>
    <w:rsid w:val="00414004"/>
    <w:rsid w:val="00414D8B"/>
    <w:rsid w:val="00414F7A"/>
    <w:rsid w:val="00420701"/>
    <w:rsid w:val="00420745"/>
    <w:rsid w:val="00423E8A"/>
    <w:rsid w:val="00425B94"/>
    <w:rsid w:val="00427DC8"/>
    <w:rsid w:val="0043557A"/>
    <w:rsid w:val="004373A6"/>
    <w:rsid w:val="004375FE"/>
    <w:rsid w:val="00437704"/>
    <w:rsid w:val="00440089"/>
    <w:rsid w:val="00443BBF"/>
    <w:rsid w:val="00445663"/>
    <w:rsid w:val="00447F5B"/>
    <w:rsid w:val="0045024E"/>
    <w:rsid w:val="00450D80"/>
    <w:rsid w:val="00451830"/>
    <w:rsid w:val="00455D2B"/>
    <w:rsid w:val="00456CBD"/>
    <w:rsid w:val="004576AA"/>
    <w:rsid w:val="00457C55"/>
    <w:rsid w:val="00461F41"/>
    <w:rsid w:val="004626F7"/>
    <w:rsid w:val="00462753"/>
    <w:rsid w:val="00463595"/>
    <w:rsid w:val="00464786"/>
    <w:rsid w:val="00466F23"/>
    <w:rsid w:val="004700B0"/>
    <w:rsid w:val="00472397"/>
    <w:rsid w:val="0047268E"/>
    <w:rsid w:val="00473F03"/>
    <w:rsid w:val="004743C0"/>
    <w:rsid w:val="00475B8B"/>
    <w:rsid w:val="00476D85"/>
    <w:rsid w:val="004779A9"/>
    <w:rsid w:val="00485136"/>
    <w:rsid w:val="00485A68"/>
    <w:rsid w:val="00485AA3"/>
    <w:rsid w:val="00486F40"/>
    <w:rsid w:val="004A0851"/>
    <w:rsid w:val="004A0B27"/>
    <w:rsid w:val="004A0C80"/>
    <w:rsid w:val="004A0D5B"/>
    <w:rsid w:val="004A2D23"/>
    <w:rsid w:val="004A33C9"/>
    <w:rsid w:val="004A524E"/>
    <w:rsid w:val="004A7311"/>
    <w:rsid w:val="004A74BA"/>
    <w:rsid w:val="004B067D"/>
    <w:rsid w:val="004B3972"/>
    <w:rsid w:val="004B3A80"/>
    <w:rsid w:val="004B446B"/>
    <w:rsid w:val="004B486D"/>
    <w:rsid w:val="004B4AC8"/>
    <w:rsid w:val="004B538E"/>
    <w:rsid w:val="004B5D8E"/>
    <w:rsid w:val="004B619C"/>
    <w:rsid w:val="004C0872"/>
    <w:rsid w:val="004C091E"/>
    <w:rsid w:val="004C0B08"/>
    <w:rsid w:val="004C1326"/>
    <w:rsid w:val="004C1417"/>
    <w:rsid w:val="004C18ED"/>
    <w:rsid w:val="004C4BDC"/>
    <w:rsid w:val="004D197E"/>
    <w:rsid w:val="004D47C9"/>
    <w:rsid w:val="004D7226"/>
    <w:rsid w:val="004E09B3"/>
    <w:rsid w:val="004F3C24"/>
    <w:rsid w:val="004F595D"/>
    <w:rsid w:val="004F756F"/>
    <w:rsid w:val="005001A3"/>
    <w:rsid w:val="005036DA"/>
    <w:rsid w:val="005052C9"/>
    <w:rsid w:val="00506961"/>
    <w:rsid w:val="0051098F"/>
    <w:rsid w:val="0051496C"/>
    <w:rsid w:val="00514B2F"/>
    <w:rsid w:val="00514B79"/>
    <w:rsid w:val="00514DB0"/>
    <w:rsid w:val="00516EB5"/>
    <w:rsid w:val="00520546"/>
    <w:rsid w:val="00520743"/>
    <w:rsid w:val="00521C79"/>
    <w:rsid w:val="00525356"/>
    <w:rsid w:val="005256AF"/>
    <w:rsid w:val="00526E67"/>
    <w:rsid w:val="00530CE6"/>
    <w:rsid w:val="00531E00"/>
    <w:rsid w:val="005329C6"/>
    <w:rsid w:val="00532C41"/>
    <w:rsid w:val="00533201"/>
    <w:rsid w:val="00533382"/>
    <w:rsid w:val="005409DF"/>
    <w:rsid w:val="00540D4D"/>
    <w:rsid w:val="00541C4C"/>
    <w:rsid w:val="00543F98"/>
    <w:rsid w:val="00544459"/>
    <w:rsid w:val="0055132A"/>
    <w:rsid w:val="00551591"/>
    <w:rsid w:val="00551F8F"/>
    <w:rsid w:val="0055496A"/>
    <w:rsid w:val="005560B7"/>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11E"/>
    <w:rsid w:val="005A4EAA"/>
    <w:rsid w:val="005A621B"/>
    <w:rsid w:val="005A6E8F"/>
    <w:rsid w:val="005A7942"/>
    <w:rsid w:val="005A7BD4"/>
    <w:rsid w:val="005B14FF"/>
    <w:rsid w:val="005B1CD7"/>
    <w:rsid w:val="005B2CC1"/>
    <w:rsid w:val="005B2DC1"/>
    <w:rsid w:val="005C0E77"/>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93E"/>
    <w:rsid w:val="005E4A29"/>
    <w:rsid w:val="005E4EDF"/>
    <w:rsid w:val="005E6348"/>
    <w:rsid w:val="005E6F1D"/>
    <w:rsid w:val="005E70F4"/>
    <w:rsid w:val="005F3238"/>
    <w:rsid w:val="005F603E"/>
    <w:rsid w:val="0060058D"/>
    <w:rsid w:val="00600FE0"/>
    <w:rsid w:val="00602F6E"/>
    <w:rsid w:val="0060550A"/>
    <w:rsid w:val="00610A12"/>
    <w:rsid w:val="00611101"/>
    <w:rsid w:val="00613D7E"/>
    <w:rsid w:val="0061407C"/>
    <w:rsid w:val="00615AE4"/>
    <w:rsid w:val="006170D2"/>
    <w:rsid w:val="00617C01"/>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3585"/>
    <w:rsid w:val="00645F42"/>
    <w:rsid w:val="00647610"/>
    <w:rsid w:val="00652482"/>
    <w:rsid w:val="006560D9"/>
    <w:rsid w:val="006564F5"/>
    <w:rsid w:val="00656536"/>
    <w:rsid w:val="006572DB"/>
    <w:rsid w:val="00657B8A"/>
    <w:rsid w:val="006644C6"/>
    <w:rsid w:val="006714D8"/>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6FE7"/>
    <w:rsid w:val="006A72D1"/>
    <w:rsid w:val="006B2525"/>
    <w:rsid w:val="006B2C73"/>
    <w:rsid w:val="006B306C"/>
    <w:rsid w:val="006B4B7B"/>
    <w:rsid w:val="006B5254"/>
    <w:rsid w:val="006B5B75"/>
    <w:rsid w:val="006B778C"/>
    <w:rsid w:val="006C0829"/>
    <w:rsid w:val="006C2826"/>
    <w:rsid w:val="006C47AC"/>
    <w:rsid w:val="006C5DC3"/>
    <w:rsid w:val="006D05BF"/>
    <w:rsid w:val="006D2304"/>
    <w:rsid w:val="006D2A6D"/>
    <w:rsid w:val="006D2CBF"/>
    <w:rsid w:val="006D3B32"/>
    <w:rsid w:val="006D5248"/>
    <w:rsid w:val="006D76CD"/>
    <w:rsid w:val="006D7ADB"/>
    <w:rsid w:val="006E1967"/>
    <w:rsid w:val="006E1D13"/>
    <w:rsid w:val="006E321C"/>
    <w:rsid w:val="006E38F5"/>
    <w:rsid w:val="006E4216"/>
    <w:rsid w:val="006E478F"/>
    <w:rsid w:val="006F150A"/>
    <w:rsid w:val="006F1C29"/>
    <w:rsid w:val="006F3289"/>
    <w:rsid w:val="006F384E"/>
    <w:rsid w:val="006F4CC8"/>
    <w:rsid w:val="006F4E09"/>
    <w:rsid w:val="006F4F4E"/>
    <w:rsid w:val="006F6842"/>
    <w:rsid w:val="006F6B2B"/>
    <w:rsid w:val="007021B6"/>
    <w:rsid w:val="007042AA"/>
    <w:rsid w:val="007058B7"/>
    <w:rsid w:val="00706DFC"/>
    <w:rsid w:val="007116FE"/>
    <w:rsid w:val="00712912"/>
    <w:rsid w:val="00713109"/>
    <w:rsid w:val="00713C99"/>
    <w:rsid w:val="007146D7"/>
    <w:rsid w:val="007152F1"/>
    <w:rsid w:val="00715EF6"/>
    <w:rsid w:val="00717F20"/>
    <w:rsid w:val="00721B29"/>
    <w:rsid w:val="00721E7C"/>
    <w:rsid w:val="00725EF5"/>
    <w:rsid w:val="0072649E"/>
    <w:rsid w:val="00726BE5"/>
    <w:rsid w:val="00727FE3"/>
    <w:rsid w:val="00732A8C"/>
    <w:rsid w:val="00736CC6"/>
    <w:rsid w:val="00736D17"/>
    <w:rsid w:val="00741A88"/>
    <w:rsid w:val="00742E04"/>
    <w:rsid w:val="00743188"/>
    <w:rsid w:val="00743E8F"/>
    <w:rsid w:val="0074453A"/>
    <w:rsid w:val="00744E0C"/>
    <w:rsid w:val="00744F6F"/>
    <w:rsid w:val="007452AE"/>
    <w:rsid w:val="007461D5"/>
    <w:rsid w:val="00747349"/>
    <w:rsid w:val="007504D1"/>
    <w:rsid w:val="00750753"/>
    <w:rsid w:val="00755030"/>
    <w:rsid w:val="00755678"/>
    <w:rsid w:val="0075613C"/>
    <w:rsid w:val="007605FF"/>
    <w:rsid w:val="00761706"/>
    <w:rsid w:val="00761A3B"/>
    <w:rsid w:val="007626D3"/>
    <w:rsid w:val="00763114"/>
    <w:rsid w:val="0076452B"/>
    <w:rsid w:val="007645B6"/>
    <w:rsid w:val="00766775"/>
    <w:rsid w:val="00766C6B"/>
    <w:rsid w:val="00767578"/>
    <w:rsid w:val="00770036"/>
    <w:rsid w:val="00771B75"/>
    <w:rsid w:val="00773A3B"/>
    <w:rsid w:val="00774294"/>
    <w:rsid w:val="007743BA"/>
    <w:rsid w:val="007751C7"/>
    <w:rsid w:val="00775B33"/>
    <w:rsid w:val="00782642"/>
    <w:rsid w:val="007844BE"/>
    <w:rsid w:val="00786E71"/>
    <w:rsid w:val="0079133B"/>
    <w:rsid w:val="00791885"/>
    <w:rsid w:val="00792767"/>
    <w:rsid w:val="00794512"/>
    <w:rsid w:val="00794A0D"/>
    <w:rsid w:val="00794DF0"/>
    <w:rsid w:val="007959AD"/>
    <w:rsid w:val="007A2B08"/>
    <w:rsid w:val="007A3826"/>
    <w:rsid w:val="007A4343"/>
    <w:rsid w:val="007A4758"/>
    <w:rsid w:val="007A5200"/>
    <w:rsid w:val="007A6714"/>
    <w:rsid w:val="007A6924"/>
    <w:rsid w:val="007A6FDA"/>
    <w:rsid w:val="007B079D"/>
    <w:rsid w:val="007B557C"/>
    <w:rsid w:val="007B584F"/>
    <w:rsid w:val="007B77B2"/>
    <w:rsid w:val="007B7D73"/>
    <w:rsid w:val="007C0474"/>
    <w:rsid w:val="007C0818"/>
    <w:rsid w:val="007C14E9"/>
    <w:rsid w:val="007C1DA9"/>
    <w:rsid w:val="007C2410"/>
    <w:rsid w:val="007C2498"/>
    <w:rsid w:val="007C2D38"/>
    <w:rsid w:val="007C4D1A"/>
    <w:rsid w:val="007C7907"/>
    <w:rsid w:val="007D549A"/>
    <w:rsid w:val="007D649A"/>
    <w:rsid w:val="007D7C3E"/>
    <w:rsid w:val="007E027B"/>
    <w:rsid w:val="007E0E28"/>
    <w:rsid w:val="007E174F"/>
    <w:rsid w:val="007E1816"/>
    <w:rsid w:val="007E18CE"/>
    <w:rsid w:val="007E1AAB"/>
    <w:rsid w:val="007E2208"/>
    <w:rsid w:val="007E4AF7"/>
    <w:rsid w:val="007E64A4"/>
    <w:rsid w:val="007E7D3F"/>
    <w:rsid w:val="007F1C84"/>
    <w:rsid w:val="007F2457"/>
    <w:rsid w:val="007F36C8"/>
    <w:rsid w:val="007F3A50"/>
    <w:rsid w:val="007F63DD"/>
    <w:rsid w:val="007F7A85"/>
    <w:rsid w:val="00800105"/>
    <w:rsid w:val="00802872"/>
    <w:rsid w:val="00802879"/>
    <w:rsid w:val="00803308"/>
    <w:rsid w:val="00803D62"/>
    <w:rsid w:val="008100A9"/>
    <w:rsid w:val="00811984"/>
    <w:rsid w:val="00813688"/>
    <w:rsid w:val="00813C8F"/>
    <w:rsid w:val="008142FD"/>
    <w:rsid w:val="008154A7"/>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51E1"/>
    <w:rsid w:val="008477B0"/>
    <w:rsid w:val="00847AA7"/>
    <w:rsid w:val="008517E1"/>
    <w:rsid w:val="008523A6"/>
    <w:rsid w:val="00856A89"/>
    <w:rsid w:val="00862056"/>
    <w:rsid w:val="008626DF"/>
    <w:rsid w:val="00863980"/>
    <w:rsid w:val="008647B5"/>
    <w:rsid w:val="00864CBC"/>
    <w:rsid w:val="00866B5D"/>
    <w:rsid w:val="0086723F"/>
    <w:rsid w:val="0087211E"/>
    <w:rsid w:val="00872967"/>
    <w:rsid w:val="00875886"/>
    <w:rsid w:val="00876F79"/>
    <w:rsid w:val="00883DA8"/>
    <w:rsid w:val="00890485"/>
    <w:rsid w:val="00890DA4"/>
    <w:rsid w:val="00892F8A"/>
    <w:rsid w:val="0089426E"/>
    <w:rsid w:val="00894280"/>
    <w:rsid w:val="008948D4"/>
    <w:rsid w:val="00894FA7"/>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52F"/>
    <w:rsid w:val="008C1BF6"/>
    <w:rsid w:val="008C26A7"/>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4EAC"/>
    <w:rsid w:val="00916CDA"/>
    <w:rsid w:val="00917064"/>
    <w:rsid w:val="0092098B"/>
    <w:rsid w:val="00920C7B"/>
    <w:rsid w:val="00922FBB"/>
    <w:rsid w:val="009234E2"/>
    <w:rsid w:val="0092493B"/>
    <w:rsid w:val="00926614"/>
    <w:rsid w:val="0093236F"/>
    <w:rsid w:val="00932BC5"/>
    <w:rsid w:val="00932F06"/>
    <w:rsid w:val="009361F9"/>
    <w:rsid w:val="00936660"/>
    <w:rsid w:val="00937BF1"/>
    <w:rsid w:val="00937F0E"/>
    <w:rsid w:val="00942191"/>
    <w:rsid w:val="00942712"/>
    <w:rsid w:val="00947B42"/>
    <w:rsid w:val="00951444"/>
    <w:rsid w:val="0096238F"/>
    <w:rsid w:val="00964B1D"/>
    <w:rsid w:val="00972509"/>
    <w:rsid w:val="009734A6"/>
    <w:rsid w:val="009735DD"/>
    <w:rsid w:val="00976970"/>
    <w:rsid w:val="00976D4F"/>
    <w:rsid w:val="0098034C"/>
    <w:rsid w:val="00984EE9"/>
    <w:rsid w:val="0098630E"/>
    <w:rsid w:val="0099156B"/>
    <w:rsid w:val="009927B8"/>
    <w:rsid w:val="009977AB"/>
    <w:rsid w:val="009A06C4"/>
    <w:rsid w:val="009A353A"/>
    <w:rsid w:val="009A43E4"/>
    <w:rsid w:val="009A60EB"/>
    <w:rsid w:val="009B3CA7"/>
    <w:rsid w:val="009B56AF"/>
    <w:rsid w:val="009B5FBE"/>
    <w:rsid w:val="009B6497"/>
    <w:rsid w:val="009B72B5"/>
    <w:rsid w:val="009C1A3E"/>
    <w:rsid w:val="009C259F"/>
    <w:rsid w:val="009C2B0C"/>
    <w:rsid w:val="009C32E6"/>
    <w:rsid w:val="009C423A"/>
    <w:rsid w:val="009C4EC3"/>
    <w:rsid w:val="009C5509"/>
    <w:rsid w:val="009C5EFA"/>
    <w:rsid w:val="009C6A73"/>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1DFC"/>
    <w:rsid w:val="00A22C6A"/>
    <w:rsid w:val="00A232A0"/>
    <w:rsid w:val="00A232C1"/>
    <w:rsid w:val="00A23F9A"/>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097"/>
    <w:rsid w:val="00A47EA0"/>
    <w:rsid w:val="00A505FF"/>
    <w:rsid w:val="00A543F4"/>
    <w:rsid w:val="00A54EB9"/>
    <w:rsid w:val="00A5544B"/>
    <w:rsid w:val="00A55C65"/>
    <w:rsid w:val="00A579F8"/>
    <w:rsid w:val="00A60A8A"/>
    <w:rsid w:val="00A62C43"/>
    <w:rsid w:val="00A64DC5"/>
    <w:rsid w:val="00A65CB3"/>
    <w:rsid w:val="00A66020"/>
    <w:rsid w:val="00A675B4"/>
    <w:rsid w:val="00A67E15"/>
    <w:rsid w:val="00A70C5E"/>
    <w:rsid w:val="00A7225A"/>
    <w:rsid w:val="00A8138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42E"/>
    <w:rsid w:val="00AA7AE9"/>
    <w:rsid w:val="00AA7DEB"/>
    <w:rsid w:val="00AB01D5"/>
    <w:rsid w:val="00AB07FF"/>
    <w:rsid w:val="00AB17B0"/>
    <w:rsid w:val="00AB3514"/>
    <w:rsid w:val="00AB4FF0"/>
    <w:rsid w:val="00AB68D9"/>
    <w:rsid w:val="00AB7E38"/>
    <w:rsid w:val="00AC0185"/>
    <w:rsid w:val="00AC0670"/>
    <w:rsid w:val="00AC097F"/>
    <w:rsid w:val="00AC0CAA"/>
    <w:rsid w:val="00AC4E5C"/>
    <w:rsid w:val="00AC76CB"/>
    <w:rsid w:val="00AD007E"/>
    <w:rsid w:val="00AD4797"/>
    <w:rsid w:val="00AD7C67"/>
    <w:rsid w:val="00AE29F7"/>
    <w:rsid w:val="00AE4236"/>
    <w:rsid w:val="00AE51B0"/>
    <w:rsid w:val="00AE5220"/>
    <w:rsid w:val="00AF0002"/>
    <w:rsid w:val="00AF3D5A"/>
    <w:rsid w:val="00AF44B2"/>
    <w:rsid w:val="00AF4BAC"/>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1D1A"/>
    <w:rsid w:val="00B42554"/>
    <w:rsid w:val="00B42CF6"/>
    <w:rsid w:val="00B4307D"/>
    <w:rsid w:val="00B43F8D"/>
    <w:rsid w:val="00B44A44"/>
    <w:rsid w:val="00B44DBE"/>
    <w:rsid w:val="00B45700"/>
    <w:rsid w:val="00B45EDB"/>
    <w:rsid w:val="00B46126"/>
    <w:rsid w:val="00B50697"/>
    <w:rsid w:val="00B50FDA"/>
    <w:rsid w:val="00B512FE"/>
    <w:rsid w:val="00B53E85"/>
    <w:rsid w:val="00B5435E"/>
    <w:rsid w:val="00B54C9E"/>
    <w:rsid w:val="00B55E9B"/>
    <w:rsid w:val="00B560AA"/>
    <w:rsid w:val="00B61ED5"/>
    <w:rsid w:val="00B63086"/>
    <w:rsid w:val="00B64170"/>
    <w:rsid w:val="00B6546F"/>
    <w:rsid w:val="00B67DC9"/>
    <w:rsid w:val="00B7385F"/>
    <w:rsid w:val="00B74018"/>
    <w:rsid w:val="00B74EDD"/>
    <w:rsid w:val="00B80578"/>
    <w:rsid w:val="00B82E1E"/>
    <w:rsid w:val="00B82F92"/>
    <w:rsid w:val="00B85217"/>
    <w:rsid w:val="00B86834"/>
    <w:rsid w:val="00B86897"/>
    <w:rsid w:val="00B87B5C"/>
    <w:rsid w:val="00B91541"/>
    <w:rsid w:val="00B943B4"/>
    <w:rsid w:val="00B978C6"/>
    <w:rsid w:val="00BA11F0"/>
    <w:rsid w:val="00BA13A3"/>
    <w:rsid w:val="00BA1C0F"/>
    <w:rsid w:val="00BA2566"/>
    <w:rsid w:val="00BA5B76"/>
    <w:rsid w:val="00BA64E5"/>
    <w:rsid w:val="00BA6C68"/>
    <w:rsid w:val="00BB2ED1"/>
    <w:rsid w:val="00BB368C"/>
    <w:rsid w:val="00BB39B5"/>
    <w:rsid w:val="00BB72A0"/>
    <w:rsid w:val="00BB74CD"/>
    <w:rsid w:val="00BB7985"/>
    <w:rsid w:val="00BC14C3"/>
    <w:rsid w:val="00BC3AEA"/>
    <w:rsid w:val="00BC4859"/>
    <w:rsid w:val="00BC5470"/>
    <w:rsid w:val="00BC5531"/>
    <w:rsid w:val="00BC6F10"/>
    <w:rsid w:val="00BC753F"/>
    <w:rsid w:val="00BC7ABF"/>
    <w:rsid w:val="00BC7E81"/>
    <w:rsid w:val="00BD19FE"/>
    <w:rsid w:val="00BD21BC"/>
    <w:rsid w:val="00BD5B2D"/>
    <w:rsid w:val="00BD6669"/>
    <w:rsid w:val="00BD6ADD"/>
    <w:rsid w:val="00BE26FE"/>
    <w:rsid w:val="00BE52AB"/>
    <w:rsid w:val="00BE5A19"/>
    <w:rsid w:val="00BE62E3"/>
    <w:rsid w:val="00BE69A5"/>
    <w:rsid w:val="00BE7448"/>
    <w:rsid w:val="00BE7DDB"/>
    <w:rsid w:val="00BF1B7F"/>
    <w:rsid w:val="00BF30DA"/>
    <w:rsid w:val="00BF34BD"/>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6FA"/>
    <w:rsid w:val="00C31E7E"/>
    <w:rsid w:val="00C40262"/>
    <w:rsid w:val="00C40D77"/>
    <w:rsid w:val="00C41816"/>
    <w:rsid w:val="00C4362F"/>
    <w:rsid w:val="00C44055"/>
    <w:rsid w:val="00C46124"/>
    <w:rsid w:val="00C50D33"/>
    <w:rsid w:val="00C5158D"/>
    <w:rsid w:val="00C5161E"/>
    <w:rsid w:val="00C54B8E"/>
    <w:rsid w:val="00C54F0E"/>
    <w:rsid w:val="00C557F9"/>
    <w:rsid w:val="00C56CFE"/>
    <w:rsid w:val="00C601F3"/>
    <w:rsid w:val="00C602C4"/>
    <w:rsid w:val="00C60387"/>
    <w:rsid w:val="00C61384"/>
    <w:rsid w:val="00C61AF2"/>
    <w:rsid w:val="00C61E0D"/>
    <w:rsid w:val="00C642B4"/>
    <w:rsid w:val="00C653F8"/>
    <w:rsid w:val="00C6550E"/>
    <w:rsid w:val="00C66D74"/>
    <w:rsid w:val="00C678D0"/>
    <w:rsid w:val="00C67CDB"/>
    <w:rsid w:val="00C70D8B"/>
    <w:rsid w:val="00C72AC1"/>
    <w:rsid w:val="00C72B6F"/>
    <w:rsid w:val="00C76A41"/>
    <w:rsid w:val="00C76D1D"/>
    <w:rsid w:val="00C773BD"/>
    <w:rsid w:val="00C779EE"/>
    <w:rsid w:val="00C804B6"/>
    <w:rsid w:val="00C80606"/>
    <w:rsid w:val="00C8161B"/>
    <w:rsid w:val="00C83EE9"/>
    <w:rsid w:val="00C83F7B"/>
    <w:rsid w:val="00C90C2A"/>
    <w:rsid w:val="00C91EE1"/>
    <w:rsid w:val="00C9290C"/>
    <w:rsid w:val="00C9346A"/>
    <w:rsid w:val="00C9396A"/>
    <w:rsid w:val="00C93F23"/>
    <w:rsid w:val="00C94045"/>
    <w:rsid w:val="00C94174"/>
    <w:rsid w:val="00C94C38"/>
    <w:rsid w:val="00C955C7"/>
    <w:rsid w:val="00C975B5"/>
    <w:rsid w:val="00CA0081"/>
    <w:rsid w:val="00CA1366"/>
    <w:rsid w:val="00CA17BB"/>
    <w:rsid w:val="00CA1DF0"/>
    <w:rsid w:val="00CA3770"/>
    <w:rsid w:val="00CA388A"/>
    <w:rsid w:val="00CA53DD"/>
    <w:rsid w:val="00CB7364"/>
    <w:rsid w:val="00CB7C76"/>
    <w:rsid w:val="00CC08AD"/>
    <w:rsid w:val="00CC1987"/>
    <w:rsid w:val="00CC1CC7"/>
    <w:rsid w:val="00CC5FEC"/>
    <w:rsid w:val="00CC6095"/>
    <w:rsid w:val="00CD0C86"/>
    <w:rsid w:val="00CD10D7"/>
    <w:rsid w:val="00CD2FDC"/>
    <w:rsid w:val="00CD4938"/>
    <w:rsid w:val="00CD4CC6"/>
    <w:rsid w:val="00CE032A"/>
    <w:rsid w:val="00CE0A1D"/>
    <w:rsid w:val="00CE44D3"/>
    <w:rsid w:val="00CF35FE"/>
    <w:rsid w:val="00CF3A58"/>
    <w:rsid w:val="00CF4334"/>
    <w:rsid w:val="00CF5782"/>
    <w:rsid w:val="00CF5C38"/>
    <w:rsid w:val="00CF6EA4"/>
    <w:rsid w:val="00D027C4"/>
    <w:rsid w:val="00D04275"/>
    <w:rsid w:val="00D04E5D"/>
    <w:rsid w:val="00D0752F"/>
    <w:rsid w:val="00D07E43"/>
    <w:rsid w:val="00D1136B"/>
    <w:rsid w:val="00D1181E"/>
    <w:rsid w:val="00D13E68"/>
    <w:rsid w:val="00D207FE"/>
    <w:rsid w:val="00D20ECB"/>
    <w:rsid w:val="00D21A0F"/>
    <w:rsid w:val="00D22A9C"/>
    <w:rsid w:val="00D23CE2"/>
    <w:rsid w:val="00D2510C"/>
    <w:rsid w:val="00D306B4"/>
    <w:rsid w:val="00D315D9"/>
    <w:rsid w:val="00D31CCC"/>
    <w:rsid w:val="00D32353"/>
    <w:rsid w:val="00D3237A"/>
    <w:rsid w:val="00D35386"/>
    <w:rsid w:val="00D37234"/>
    <w:rsid w:val="00D37A98"/>
    <w:rsid w:val="00D404AF"/>
    <w:rsid w:val="00D43574"/>
    <w:rsid w:val="00D4600C"/>
    <w:rsid w:val="00D47ECA"/>
    <w:rsid w:val="00D5314D"/>
    <w:rsid w:val="00D54324"/>
    <w:rsid w:val="00D5441B"/>
    <w:rsid w:val="00D548D6"/>
    <w:rsid w:val="00D55E41"/>
    <w:rsid w:val="00D56098"/>
    <w:rsid w:val="00D5682F"/>
    <w:rsid w:val="00D60D8D"/>
    <w:rsid w:val="00D64055"/>
    <w:rsid w:val="00D651BE"/>
    <w:rsid w:val="00D65884"/>
    <w:rsid w:val="00D66FC4"/>
    <w:rsid w:val="00D7019E"/>
    <w:rsid w:val="00D70CFF"/>
    <w:rsid w:val="00D71D98"/>
    <w:rsid w:val="00D7594C"/>
    <w:rsid w:val="00D80458"/>
    <w:rsid w:val="00D81065"/>
    <w:rsid w:val="00D82507"/>
    <w:rsid w:val="00D84E28"/>
    <w:rsid w:val="00D9057B"/>
    <w:rsid w:val="00D90EF4"/>
    <w:rsid w:val="00D91B4C"/>
    <w:rsid w:val="00D92256"/>
    <w:rsid w:val="00D9457D"/>
    <w:rsid w:val="00D954BD"/>
    <w:rsid w:val="00D95AE0"/>
    <w:rsid w:val="00D96B29"/>
    <w:rsid w:val="00D96D5A"/>
    <w:rsid w:val="00D96F37"/>
    <w:rsid w:val="00D97974"/>
    <w:rsid w:val="00DA1A02"/>
    <w:rsid w:val="00DA213C"/>
    <w:rsid w:val="00DA2742"/>
    <w:rsid w:val="00DA3754"/>
    <w:rsid w:val="00DA3CD3"/>
    <w:rsid w:val="00DA450C"/>
    <w:rsid w:val="00DA4E12"/>
    <w:rsid w:val="00DA626A"/>
    <w:rsid w:val="00DB0D58"/>
    <w:rsid w:val="00DB2E50"/>
    <w:rsid w:val="00DB364B"/>
    <w:rsid w:val="00DB4EF0"/>
    <w:rsid w:val="00DB59C7"/>
    <w:rsid w:val="00DB5F8E"/>
    <w:rsid w:val="00DB62F7"/>
    <w:rsid w:val="00DB6E1B"/>
    <w:rsid w:val="00DC2857"/>
    <w:rsid w:val="00DC7933"/>
    <w:rsid w:val="00DC7C37"/>
    <w:rsid w:val="00DD0097"/>
    <w:rsid w:val="00DD1560"/>
    <w:rsid w:val="00DD2460"/>
    <w:rsid w:val="00DD3391"/>
    <w:rsid w:val="00DD5381"/>
    <w:rsid w:val="00DD7B80"/>
    <w:rsid w:val="00DE0DA6"/>
    <w:rsid w:val="00DE264A"/>
    <w:rsid w:val="00DE32CE"/>
    <w:rsid w:val="00DE3C38"/>
    <w:rsid w:val="00DE446B"/>
    <w:rsid w:val="00DE7119"/>
    <w:rsid w:val="00DE7D20"/>
    <w:rsid w:val="00DF098F"/>
    <w:rsid w:val="00DF0ED4"/>
    <w:rsid w:val="00DF181B"/>
    <w:rsid w:val="00DF1C38"/>
    <w:rsid w:val="00DF38E8"/>
    <w:rsid w:val="00E01159"/>
    <w:rsid w:val="00E01972"/>
    <w:rsid w:val="00E042B7"/>
    <w:rsid w:val="00E0476D"/>
    <w:rsid w:val="00E05F99"/>
    <w:rsid w:val="00E06073"/>
    <w:rsid w:val="00E07950"/>
    <w:rsid w:val="00E132EC"/>
    <w:rsid w:val="00E178D9"/>
    <w:rsid w:val="00E17AD2"/>
    <w:rsid w:val="00E20EBB"/>
    <w:rsid w:val="00E21B75"/>
    <w:rsid w:val="00E21EED"/>
    <w:rsid w:val="00E2289B"/>
    <w:rsid w:val="00E22E33"/>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D55"/>
    <w:rsid w:val="00E75C01"/>
    <w:rsid w:val="00E762E4"/>
    <w:rsid w:val="00E76FC2"/>
    <w:rsid w:val="00E773AE"/>
    <w:rsid w:val="00E77446"/>
    <w:rsid w:val="00E80B38"/>
    <w:rsid w:val="00E81003"/>
    <w:rsid w:val="00E819ED"/>
    <w:rsid w:val="00E81D83"/>
    <w:rsid w:val="00E820F6"/>
    <w:rsid w:val="00E82F73"/>
    <w:rsid w:val="00E83488"/>
    <w:rsid w:val="00E8535D"/>
    <w:rsid w:val="00E85AD0"/>
    <w:rsid w:val="00E90C20"/>
    <w:rsid w:val="00E928F6"/>
    <w:rsid w:val="00E94E72"/>
    <w:rsid w:val="00EA0A04"/>
    <w:rsid w:val="00EA0A10"/>
    <w:rsid w:val="00EA0C54"/>
    <w:rsid w:val="00EA5A2B"/>
    <w:rsid w:val="00EB21AA"/>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3F24"/>
    <w:rsid w:val="00F0407F"/>
    <w:rsid w:val="00F040B2"/>
    <w:rsid w:val="00F061DF"/>
    <w:rsid w:val="00F06823"/>
    <w:rsid w:val="00F06FBF"/>
    <w:rsid w:val="00F12428"/>
    <w:rsid w:val="00F12A50"/>
    <w:rsid w:val="00F177B8"/>
    <w:rsid w:val="00F2103C"/>
    <w:rsid w:val="00F228D1"/>
    <w:rsid w:val="00F27E2A"/>
    <w:rsid w:val="00F34A67"/>
    <w:rsid w:val="00F35FEC"/>
    <w:rsid w:val="00F36294"/>
    <w:rsid w:val="00F408F2"/>
    <w:rsid w:val="00F42155"/>
    <w:rsid w:val="00F42FEE"/>
    <w:rsid w:val="00F43855"/>
    <w:rsid w:val="00F44C28"/>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1F3"/>
    <w:rsid w:val="00F71E57"/>
    <w:rsid w:val="00F725E2"/>
    <w:rsid w:val="00F73C67"/>
    <w:rsid w:val="00F740D9"/>
    <w:rsid w:val="00F76267"/>
    <w:rsid w:val="00F76922"/>
    <w:rsid w:val="00F82162"/>
    <w:rsid w:val="00F8475E"/>
    <w:rsid w:val="00F865AF"/>
    <w:rsid w:val="00F86BCD"/>
    <w:rsid w:val="00F91751"/>
    <w:rsid w:val="00F91F20"/>
    <w:rsid w:val="00F92BA0"/>
    <w:rsid w:val="00F949FD"/>
    <w:rsid w:val="00F94A58"/>
    <w:rsid w:val="00F958BD"/>
    <w:rsid w:val="00F95B98"/>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C75A7"/>
    <w:rsid w:val="00FD0F90"/>
    <w:rsid w:val="00FD1D04"/>
    <w:rsid w:val="00FD32D1"/>
    <w:rsid w:val="00FD34FB"/>
    <w:rsid w:val="00FD3E16"/>
    <w:rsid w:val="00FD664B"/>
    <w:rsid w:val="00FD74AB"/>
    <w:rsid w:val="00FE1ABE"/>
    <w:rsid w:val="00FE1F13"/>
    <w:rsid w:val="00FE2070"/>
    <w:rsid w:val="00FE30E1"/>
    <w:rsid w:val="00FE36AE"/>
    <w:rsid w:val="00FE7F43"/>
    <w:rsid w:val="00FF0567"/>
    <w:rsid w:val="00FF2390"/>
    <w:rsid w:val="00FF284F"/>
    <w:rsid w:val="00FF39C2"/>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5579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A6313-050B-4D64-A6F1-3B6C9EBE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423</cp:revision>
  <cp:lastPrinted>2015-07-20T19:34:00Z</cp:lastPrinted>
  <dcterms:created xsi:type="dcterms:W3CDTF">2015-11-06T11:25:00Z</dcterms:created>
  <dcterms:modified xsi:type="dcterms:W3CDTF">2016-01-12T00:50:00Z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